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5" w:rsidRPr="00703A55" w:rsidRDefault="00705474" w:rsidP="00705474">
      <w:pPr>
        <w:shd w:val="clear" w:color="auto" w:fill="EEEEEE"/>
        <w:jc w:val="center"/>
        <w:outlineLvl w:val="1"/>
        <w:rPr>
          <w:rFonts w:ascii="Arial" w:hAnsi="Arial" w:cs="Arial"/>
          <w:b/>
          <w:bCs/>
          <w:color w:val="4472C4" w:themeColor="accent5"/>
          <w:sz w:val="35"/>
          <w:szCs w:val="35"/>
          <w:lang w:val="en-US" w:eastAsia="en-US"/>
        </w:rPr>
      </w:pPr>
      <w:r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>Long Terms Agreements</w:t>
      </w:r>
      <w:r w:rsidR="00CF2E25" w:rsidRPr="00703A55"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 xml:space="preserve"> Advertisement</w:t>
      </w:r>
    </w:p>
    <w:p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:rsidR="00CF2E25" w:rsidRDefault="00CF2E25" w:rsidP="004C34E7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C34E7">
        <w:rPr>
          <w:rFonts w:ascii="Arial" w:hAnsi="Arial" w:cs="Arial"/>
          <w:color w:val="000000"/>
        </w:rPr>
        <w:t>Norwegian Refugee Council (NRC)</w:t>
      </w:r>
    </w:p>
    <w:p w:rsidR="00CF2E25" w:rsidRDefault="00CF2E25" w:rsidP="001B460E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Bids Issue </w:t>
      </w:r>
      <w:r w:rsidR="005619E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Timetable</w:t>
      </w:r>
      <w:r w:rsidR="005619E0">
        <w:rPr>
          <w:rFonts w:ascii="Arial" w:hAnsi="Arial" w:cs="Arial"/>
          <w:color w:val="000000"/>
          <w:sz w:val="20"/>
          <w:szCs w:val="20"/>
        </w:rPr>
        <w:t>:</w:t>
      </w:r>
      <w:r w:rsidR="005619E0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proofErr w:type="gramStart"/>
      <w:r w:rsidR="001B460E">
        <w:rPr>
          <w:rFonts w:ascii="Arial" w:hAnsi="Arial" w:cs="Arial"/>
          <w:color w:val="000000"/>
          <w:lang w:bidi="ar-YE"/>
        </w:rPr>
        <w:t>3</w:t>
      </w:r>
      <w:r w:rsidR="001B460E" w:rsidRPr="001B460E">
        <w:rPr>
          <w:rFonts w:ascii="Arial" w:hAnsi="Arial" w:cs="Arial"/>
          <w:color w:val="000000"/>
          <w:vertAlign w:val="superscript"/>
          <w:lang w:bidi="ar-YE"/>
        </w:rPr>
        <w:t>rd</w:t>
      </w:r>
      <w:proofErr w:type="gramEnd"/>
      <w:r w:rsidR="001B460E">
        <w:rPr>
          <w:rFonts w:ascii="Arial" w:hAnsi="Arial" w:cs="Arial"/>
          <w:color w:val="000000"/>
          <w:lang w:bidi="ar-YE"/>
        </w:rPr>
        <w:t xml:space="preserve"> June</w:t>
      </w:r>
      <w:r w:rsidR="00705474">
        <w:rPr>
          <w:rFonts w:ascii="Arial" w:hAnsi="Arial" w:cs="Arial"/>
          <w:color w:val="000000"/>
          <w:lang w:bidi="ar-YE"/>
        </w:rPr>
        <w:t>,</w:t>
      </w:r>
      <w:r w:rsidR="001B460E">
        <w:rPr>
          <w:rFonts w:ascii="Arial" w:hAnsi="Arial" w:cs="Arial"/>
          <w:color w:val="000000"/>
          <w:lang w:bidi="ar-YE"/>
        </w:rPr>
        <w:t xml:space="preserve"> 2021</w:t>
      </w:r>
      <w:r w:rsidR="004C34E7">
        <w:rPr>
          <w:rFonts w:ascii="Arial" w:hAnsi="Arial" w:cs="Arial"/>
          <w:color w:val="000000"/>
          <w:lang w:bidi="ar-YE"/>
        </w:rPr>
        <w:t>.</w:t>
      </w:r>
    </w:p>
    <w:p w:rsidR="00CF2E25" w:rsidRDefault="00CF2E25" w:rsidP="002D7C39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Deadline for Submission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D7C39">
        <w:rPr>
          <w:rFonts w:ascii="Arial" w:hAnsi="Arial" w:cs="Arial"/>
          <w:color w:val="000000"/>
        </w:rPr>
        <w:t>24</w:t>
      </w:r>
      <w:r w:rsidR="002D7C39" w:rsidRPr="002D7C39">
        <w:rPr>
          <w:rFonts w:ascii="Arial" w:hAnsi="Arial" w:cs="Arial"/>
          <w:color w:val="000000"/>
          <w:vertAlign w:val="superscript"/>
        </w:rPr>
        <w:t>th</w:t>
      </w:r>
      <w:r w:rsidR="002D7C39">
        <w:rPr>
          <w:rFonts w:ascii="Arial" w:hAnsi="Arial" w:cs="Arial"/>
          <w:color w:val="000000"/>
        </w:rPr>
        <w:t xml:space="preserve"> </w:t>
      </w:r>
      <w:r w:rsidR="001B460E">
        <w:rPr>
          <w:rFonts w:ascii="Arial" w:hAnsi="Arial" w:cs="Arial"/>
          <w:color w:val="000000"/>
        </w:rPr>
        <w:t>June</w:t>
      </w:r>
      <w:r w:rsidR="004C34E7" w:rsidRPr="004C34E7">
        <w:rPr>
          <w:rFonts w:ascii="Arial" w:hAnsi="Arial" w:cs="Arial"/>
          <w:color w:val="000000"/>
          <w:lang w:bidi="ar-YE"/>
        </w:rPr>
        <w:t>,</w:t>
      </w:r>
      <w:r w:rsidR="00F77346" w:rsidRPr="004C34E7">
        <w:rPr>
          <w:rFonts w:ascii="Arial" w:hAnsi="Arial" w:cs="Arial"/>
          <w:color w:val="000000"/>
          <w:lang w:bidi="ar-YE"/>
        </w:rPr>
        <w:t xml:space="preserve"> </w:t>
      </w:r>
      <w:r w:rsidR="00C22AD8" w:rsidRPr="004C34E7">
        <w:rPr>
          <w:rFonts w:ascii="Arial" w:hAnsi="Arial" w:cs="Arial"/>
          <w:color w:val="000000"/>
          <w:lang w:bidi="ar-YE"/>
        </w:rPr>
        <w:t>202</w:t>
      </w:r>
      <w:r w:rsidR="001B460E">
        <w:rPr>
          <w:rFonts w:ascii="Arial" w:hAnsi="Arial" w:cs="Arial"/>
          <w:color w:val="000000"/>
          <w:lang w:bidi="ar-YE"/>
        </w:rPr>
        <w:t>1</w:t>
      </w:r>
      <w:r w:rsidR="00177AD2" w:rsidRPr="004C34E7">
        <w:rPr>
          <w:rFonts w:ascii="Arial" w:hAnsi="Arial" w:cs="Arial"/>
          <w:color w:val="000000"/>
        </w:rPr>
        <w:t>, time</w:t>
      </w:r>
      <w:r w:rsidR="00E106C8" w:rsidRPr="004C34E7">
        <w:rPr>
          <w:rFonts w:ascii="Arial" w:hAnsi="Arial" w:cs="Arial"/>
          <w:color w:val="000000"/>
        </w:rPr>
        <w:t>:</w:t>
      </w:r>
      <w:r w:rsidR="004C34E7" w:rsidRPr="004C34E7">
        <w:rPr>
          <w:rFonts w:ascii="Arial" w:hAnsi="Arial" w:cs="Arial"/>
          <w:color w:val="000000"/>
        </w:rPr>
        <w:t xml:space="preserve"> before</w:t>
      </w:r>
      <w:r w:rsidR="00E106C8" w:rsidRPr="004C34E7">
        <w:rPr>
          <w:rFonts w:ascii="Arial" w:hAnsi="Arial" w:cs="Arial"/>
          <w:color w:val="000000"/>
        </w:rPr>
        <w:t xml:space="preserve"> </w:t>
      </w:r>
      <w:r w:rsidR="00530884" w:rsidRPr="004C34E7">
        <w:rPr>
          <w:rFonts w:ascii="Arial" w:hAnsi="Arial" w:cs="Arial"/>
          <w:color w:val="000000"/>
        </w:rPr>
        <w:t>0</w:t>
      </w:r>
      <w:r w:rsidR="00B61F1D" w:rsidRPr="004C34E7">
        <w:rPr>
          <w:rFonts w:ascii="Arial" w:hAnsi="Arial" w:cs="Arial"/>
          <w:color w:val="000000"/>
        </w:rPr>
        <w:t>3</w:t>
      </w:r>
      <w:r w:rsidR="00530884" w:rsidRPr="004C34E7">
        <w:rPr>
          <w:rFonts w:ascii="Arial" w:hAnsi="Arial" w:cs="Arial"/>
          <w:color w:val="000000"/>
        </w:rPr>
        <w:t>:00</w:t>
      </w:r>
      <w:r w:rsidRPr="004C34E7">
        <w:rPr>
          <w:rFonts w:ascii="Arial" w:hAnsi="Arial" w:cs="Arial"/>
          <w:color w:val="000000"/>
        </w:rPr>
        <w:t xml:space="preserve"> PM</w:t>
      </w:r>
    </w:p>
    <w:p w:rsidR="00AF6C8C" w:rsidRPr="004C34E7" w:rsidRDefault="00CF2E25" w:rsidP="001B460E">
      <w:pPr>
        <w:pStyle w:val="NormalWeb"/>
        <w:shd w:val="clear" w:color="auto" w:fill="EEEEEE"/>
        <w:spacing w:before="0" w:beforeAutospacing="0" w:after="0" w:afterAutospacing="0"/>
        <w:jc w:val="lowKashida"/>
        <w:rPr>
          <w:b/>
          <w:bCs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Tender</w:t>
      </w:r>
      <w:r w:rsidR="0053088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Subject: </w:t>
      </w:r>
      <w:r w:rsidR="001B460E" w:rsidRPr="00E10512">
        <w:rPr>
          <w:rFonts w:asciiTheme="minorHAnsi" w:hAnsiTheme="minorHAnsi"/>
          <w:b/>
          <w:bCs/>
          <w:sz w:val="26"/>
          <w:szCs w:val="26"/>
          <w:highlight w:val="lightGray"/>
        </w:rPr>
        <w:t xml:space="preserve">Supplying </w:t>
      </w:r>
      <w:r w:rsidR="001B460E">
        <w:rPr>
          <w:rFonts w:asciiTheme="minorHAnsi" w:hAnsiTheme="minorHAnsi"/>
          <w:b/>
          <w:bCs/>
          <w:sz w:val="26"/>
          <w:szCs w:val="26"/>
          <w:highlight w:val="lightGray"/>
        </w:rPr>
        <w:t>NIFs Items</w:t>
      </w:r>
      <w:r w:rsidR="001B460E" w:rsidRPr="00E10512">
        <w:rPr>
          <w:rFonts w:asciiTheme="minorHAnsi" w:hAnsiTheme="minorHAnsi"/>
          <w:b/>
          <w:bCs/>
          <w:sz w:val="26"/>
          <w:szCs w:val="26"/>
          <w:highlight w:val="lightGray"/>
        </w:rPr>
        <w:t xml:space="preserve"> to NRC Yemen – one year Long Term Agreement (renewable)</w:t>
      </w:r>
    </w:p>
    <w:p w:rsidR="004C34E7" w:rsidRDefault="004C34E7" w:rsidP="00F77346">
      <w:pPr>
        <w:jc w:val="center"/>
        <w:rPr>
          <w:rFonts w:ascii="Arial" w:hAnsi="Arial" w:cs="Arial"/>
          <w:sz w:val="18"/>
          <w:szCs w:val="18"/>
          <w:lang w:val="en-US" w:eastAsia="en-US"/>
        </w:rPr>
      </w:pPr>
    </w:p>
    <w:p w:rsidR="00CF2E25" w:rsidRPr="00D10C06" w:rsidRDefault="00CF2E25" w:rsidP="004C34E7">
      <w:pPr>
        <w:jc w:val="lowKashida"/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</w:pP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u w:val="single"/>
          <w:bdr w:val="none" w:sz="0" w:space="0" w:color="auto" w:frame="1"/>
          <w:shd w:val="clear" w:color="auto" w:fill="EEEEEE"/>
        </w:rPr>
        <w:t>Introduction</w:t>
      </w: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  <w:t>:</w:t>
      </w:r>
    </w:p>
    <w:p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:rsidR="00B23138" w:rsidRPr="004C34E7" w:rsidRDefault="00CF2E25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4C34E7">
        <w:rPr>
          <w:rFonts w:ascii="Arial" w:hAnsi="Arial" w:cs="Arial"/>
          <w:sz w:val="22"/>
          <w:szCs w:val="22"/>
          <w:lang w:val="en-US" w:eastAsia="en-US"/>
        </w:rPr>
        <w:t>The Norwegian Refugee Council (NRC) is an International NGO with regional competence and expertise in working with displaced populations. The Regional Office is based in Nairobi, Kenya with O</w:t>
      </w:r>
      <w:r w:rsidR="00B23138" w:rsidRPr="004C34E7">
        <w:rPr>
          <w:rFonts w:ascii="Arial" w:hAnsi="Arial" w:cs="Arial"/>
          <w:sz w:val="22"/>
          <w:szCs w:val="22"/>
          <w:lang w:val="en-US" w:eastAsia="en-US"/>
        </w:rPr>
        <w:t>ffices and operations in Somalia and Yemen.</w:t>
      </w:r>
    </w:p>
    <w:p w:rsidR="00B23138" w:rsidRPr="004C34E7" w:rsidRDefault="00B23138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p w:rsidR="00CF2E25" w:rsidRDefault="00CF2E25" w:rsidP="00D81A51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4C34E7">
        <w:rPr>
          <w:rFonts w:ascii="Arial" w:hAnsi="Arial" w:cs="Arial"/>
          <w:sz w:val="22"/>
          <w:szCs w:val="22"/>
          <w:lang w:val="en-US" w:eastAsia="en-US"/>
        </w:rPr>
        <w:t>Norwegian Refugee Council invites</w:t>
      </w:r>
      <w:r w:rsidR="00B2471B" w:rsidRPr="004C34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4E7">
        <w:rPr>
          <w:rFonts w:ascii="Arial" w:hAnsi="Arial" w:cs="Arial"/>
          <w:sz w:val="22"/>
          <w:szCs w:val="22"/>
          <w:lang w:val="en-US" w:eastAsia="en-US"/>
        </w:rPr>
        <w:t xml:space="preserve">potential suppliers/contractors to </w:t>
      </w:r>
      <w:r w:rsidR="00B2471B" w:rsidRPr="004C34E7">
        <w:rPr>
          <w:rFonts w:ascii="Arial" w:hAnsi="Arial" w:cs="Arial"/>
          <w:sz w:val="22"/>
          <w:szCs w:val="22"/>
          <w:lang w:val="en-US" w:eastAsia="en-US"/>
        </w:rPr>
        <w:t xml:space="preserve">apply to the following </w:t>
      </w:r>
      <w:r w:rsidR="00D81A51">
        <w:rPr>
          <w:rFonts w:ascii="Arial" w:hAnsi="Arial" w:cs="Arial"/>
          <w:sz w:val="22"/>
          <w:szCs w:val="22"/>
          <w:lang w:val="en-US" w:eastAsia="en-US"/>
        </w:rPr>
        <w:t>LTAs</w:t>
      </w:r>
      <w:r w:rsidR="00AF6C8C" w:rsidRPr="004C34E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BA50D3" w:rsidRPr="004C34E7" w:rsidRDefault="00BA50D3" w:rsidP="00BA50D3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1710"/>
        <w:gridCol w:w="4500"/>
        <w:gridCol w:w="1440"/>
        <w:gridCol w:w="1890"/>
      </w:tblGrid>
      <w:tr w:rsidR="00BA50D3" w:rsidRPr="00BA50D3" w:rsidTr="00BA50D3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Reference Number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LTA 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Bank Guarantee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Documents</w:t>
            </w:r>
          </w:p>
        </w:tc>
      </w:tr>
      <w:tr w:rsidR="00BA50D3" w:rsidRPr="00BA50D3" w:rsidTr="00BA50D3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F11454" w:rsidP="00F114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11454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 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D3" w:rsidRPr="00BA50D3" w:rsidRDefault="001B460E" w:rsidP="001B46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B460E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Supplying NIFs Items to NRC Yemen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1B460E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10,000 USD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622C3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6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</w:tbl>
    <w:p w:rsidR="00AF6C8C" w:rsidRDefault="00AF6C8C" w:rsidP="00B2471B">
      <w:pPr>
        <w:rPr>
          <w:rFonts w:ascii="Arial" w:hAnsi="Arial" w:cs="Arial"/>
          <w:sz w:val="18"/>
          <w:szCs w:val="18"/>
          <w:lang w:val="en-US" w:eastAsia="en-US"/>
        </w:rPr>
      </w:pPr>
    </w:p>
    <w:p w:rsidR="00D162C6" w:rsidRPr="007A5A1D" w:rsidRDefault="00D162C6" w:rsidP="00CF2E25">
      <w:pPr>
        <w:rPr>
          <w:rFonts w:ascii="Arial" w:hAnsi="Arial" w:cs="Arial"/>
          <w:b/>
          <w:sz w:val="18"/>
          <w:szCs w:val="18"/>
          <w:lang w:val="en-US" w:eastAsia="en-US"/>
        </w:rPr>
      </w:pPr>
    </w:p>
    <w:p w:rsidR="00CF2E25" w:rsidRPr="00D10C06" w:rsidRDefault="00CF2E25" w:rsidP="00AF6C8C">
      <w:pPr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US" w:eastAsia="en-US"/>
        </w:rPr>
        <w:t>Manner of</w:t>
      </w: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  <w:t xml:space="preserve"> Submission:</w:t>
      </w:r>
    </w:p>
    <w:p w:rsidR="00CF2E25" w:rsidRPr="00A103B8" w:rsidRDefault="00CF2E25" w:rsidP="00CF2E25">
      <w:pPr>
        <w:rPr>
          <w:rFonts w:ascii="Arial" w:hAnsi="Arial" w:cs="Arial"/>
          <w:bCs/>
          <w:sz w:val="18"/>
          <w:szCs w:val="18"/>
          <w:u w:val="single"/>
          <w:lang w:val="en-GB" w:eastAsia="en-US"/>
        </w:rPr>
      </w:pPr>
    </w:p>
    <w:p w:rsidR="00701C96" w:rsidRDefault="00653580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Followings must be considered by a</w:t>
      </w:r>
      <w:r w:rsidR="00701C96">
        <w:rPr>
          <w:rFonts w:ascii="Arial" w:hAnsi="Arial" w:cs="Arial"/>
          <w:b/>
          <w:iCs/>
          <w:sz w:val="18"/>
          <w:szCs w:val="18"/>
          <w:lang w:val="en-US"/>
        </w:rPr>
        <w:t xml:space="preserve">ll </w:t>
      </w:r>
      <w:r w:rsidR="004C34E7">
        <w:rPr>
          <w:rFonts w:ascii="Arial" w:hAnsi="Arial" w:cs="Arial"/>
          <w:b/>
          <w:iCs/>
          <w:sz w:val="18"/>
          <w:szCs w:val="18"/>
          <w:lang w:val="en-US"/>
        </w:rPr>
        <w:t xml:space="preserve">interested </w:t>
      </w:r>
      <w:r>
        <w:rPr>
          <w:rFonts w:ascii="Arial" w:hAnsi="Arial" w:cs="Arial"/>
          <w:b/>
          <w:iCs/>
          <w:sz w:val="18"/>
          <w:szCs w:val="18"/>
          <w:lang w:val="en-US"/>
        </w:rPr>
        <w:t>bidders:</w:t>
      </w:r>
    </w:p>
    <w:p w:rsidR="00875D9A" w:rsidRDefault="00875D9A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653580" w:rsidRDefault="00653580" w:rsidP="001B460E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</w:t>
      </w:r>
      <w:proofErr w:type="gramStart"/>
      <w:r>
        <w:rPr>
          <w:rFonts w:ascii="Arial" w:hAnsi="Arial" w:cs="Arial"/>
          <w:b/>
          <w:iCs/>
          <w:sz w:val="18"/>
          <w:szCs w:val="18"/>
          <w:lang w:val="en-US"/>
        </w:rPr>
        <w:t>are requested</w:t>
      </w:r>
      <w:proofErr w:type="gramEnd"/>
      <w:r>
        <w:rPr>
          <w:rFonts w:ascii="Arial" w:hAnsi="Arial" w:cs="Arial"/>
          <w:b/>
          <w:iCs/>
          <w:sz w:val="18"/>
          <w:szCs w:val="18"/>
          <w:lang w:val="en-US"/>
        </w:rPr>
        <w:t xml:space="preserve"> to download the </w:t>
      </w:r>
      <w:r w:rsidR="00975147">
        <w:rPr>
          <w:rFonts w:ascii="Arial" w:hAnsi="Arial" w:cs="Arial"/>
          <w:b/>
          <w:iCs/>
          <w:sz w:val="18"/>
          <w:szCs w:val="18"/>
          <w:lang w:val="en-US"/>
        </w:rPr>
        <w:t>LTA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documents from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links above.</w:t>
      </w:r>
    </w:p>
    <w:p w:rsidR="00653580" w:rsidRPr="00875D9A" w:rsidRDefault="00653580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proofErr w:type="gramStart"/>
      <w:r w:rsidRPr="00875D9A">
        <w:rPr>
          <w:rFonts w:ascii="Arial" w:hAnsi="Arial" w:cs="Arial"/>
          <w:b/>
          <w:iCs/>
          <w:sz w:val="18"/>
          <w:szCs w:val="18"/>
          <w:lang w:val="en-US"/>
        </w:rPr>
        <w:t>Any request for clarification must be received by NRC</w:t>
      </w:r>
      <w:proofErr w:type="gramEnd"/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in writing to</w:t>
      </w:r>
      <w:r w:rsidRPr="00875D9A">
        <w:rPr>
          <w:rFonts w:asciiTheme="minorHAnsi" w:hAnsiTheme="minorHAnsi"/>
          <w:b/>
          <w:bCs/>
          <w:sz w:val="20"/>
          <w:szCs w:val="20"/>
        </w:rPr>
        <w:t xml:space="preserve"> </w:t>
      </w:r>
      <w:hyperlink r:id="rId7" w:history="1">
        <w:r w:rsidRPr="00875D9A">
          <w:rPr>
            <w:rStyle w:val="Hyperlink"/>
            <w:rFonts w:asciiTheme="minorHAnsi" w:hAnsiTheme="minorHAnsi"/>
            <w:b/>
            <w:bCs/>
            <w:sz w:val="20"/>
            <w:szCs w:val="20"/>
          </w:rPr>
          <w:t>ye.procurement@nrc.no</w:t>
        </w:r>
      </w:hyperlink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at least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5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working days before the deadline for submission of tenders. NRC will reply to bidders' questions at least 2 working days before the deadline for submission of tenders. </w:t>
      </w:r>
    </w:p>
    <w:p w:rsidR="006D0714" w:rsidRDefault="00C22AD8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T</w:t>
      </w:r>
      <w:r w:rsidR="004C50C4" w:rsidRPr="00875D9A">
        <w:rPr>
          <w:rFonts w:ascii="Arial" w:hAnsi="Arial" w:cs="Arial"/>
          <w:b/>
          <w:iCs/>
          <w:sz w:val="18"/>
          <w:szCs w:val="18"/>
          <w:lang w:val="en-US"/>
        </w:rPr>
        <w:t>ender must be submitted in sealed envelopes and indicate the reference number and location in the envelop cover.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We look forward to receiving your tender sealed envelops as follwos (Financial offer – Technical offer - and the accompanying tender bank guarantee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as per the above table.</w:t>
      </w:r>
    </w:p>
    <w:p w:rsidR="00CF2E25" w:rsidRDefault="00CF2E25" w:rsidP="00CF2E25">
      <w:pPr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</w:p>
    <w:p w:rsidR="00CF2E25" w:rsidRPr="00D10C06" w:rsidRDefault="00CF2E25" w:rsidP="001F11D8">
      <w:pPr>
        <w:spacing w:after="240"/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</w:pP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u w:val="single"/>
          <w:lang w:val="en-US"/>
        </w:rPr>
        <w:t>Offers should clearly include the following</w:t>
      </w: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  <w:t>:</w:t>
      </w:r>
    </w:p>
    <w:p w:rsidR="00875D9A" w:rsidRPr="00875D9A" w:rsidRDefault="00875D9A" w:rsidP="00622C38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Company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>V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alid commercial local registration, </w:t>
      </w:r>
      <w:r w:rsidR="001B460E">
        <w:rPr>
          <w:rFonts w:ascii="Arial" w:hAnsi="Arial" w:cs="Arial"/>
          <w:b/>
          <w:iCs/>
          <w:sz w:val="18"/>
          <w:szCs w:val="18"/>
          <w:lang w:val="en-US"/>
        </w:rPr>
        <w:t xml:space="preserve">valid 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TAX </w:t>
      </w:r>
      <w:r w:rsidR="00622C38">
        <w:rPr>
          <w:rFonts w:ascii="Arial" w:hAnsi="Arial" w:cs="Arial"/>
          <w:b/>
          <w:iCs/>
          <w:sz w:val="18"/>
          <w:szCs w:val="18"/>
          <w:lang w:val="en-US"/>
        </w:rPr>
        <w:t>card</w:t>
      </w: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  <w:lang w:val="en-US"/>
        </w:rPr>
        <w:t>.</w:t>
      </w:r>
      <w:r w:rsidR="001B460E" w:rsidRPr="001B460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 xml:space="preserve"> </w:t>
      </w:r>
      <w:r w:rsidR="001B460E" w:rsidRPr="00157F5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>(Technical offer).</w:t>
      </w:r>
    </w:p>
    <w:p w:rsidR="00875D9A" w:rsidRPr="00157F5E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Documented experience &amp; references from other similar transactions, companies, NGO’s, and UN agencies </w:t>
      </w:r>
      <w:r w:rsidRPr="00157F5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>(Technical offer).</w:t>
      </w:r>
    </w:p>
    <w:p w:rsidR="00875D9A" w:rsidRPr="00875D9A" w:rsidRDefault="00875D9A" w:rsidP="00D10C06">
      <w:pPr>
        <w:pStyle w:val="ListParagraph"/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Validity of the submitted offer and </w:t>
      </w:r>
      <w:r>
        <w:rPr>
          <w:rFonts w:ascii="Arial" w:hAnsi="Arial" w:cs="Arial"/>
          <w:b/>
          <w:iCs/>
          <w:sz w:val="18"/>
          <w:szCs w:val="18"/>
          <w:lang w:val="en-US"/>
        </w:rPr>
        <w:t>to indicate implementation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period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in your respected offer.</w:t>
      </w:r>
    </w:p>
    <w:p w:rsid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Net price for each item </w:t>
      </w:r>
      <w:r w:rsidRPr="00157F5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>(Financial offer).</w:t>
      </w:r>
    </w:p>
    <w:p w:rsidR="001B460E" w:rsidRPr="00157F5E" w:rsidRDefault="001B460E" w:rsidP="00F11454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 must to provide items </w:t>
      </w:r>
      <w:r w:rsidR="00F11454" w:rsidRPr="00F11454">
        <w:rPr>
          <w:rFonts w:ascii="Arial" w:hAnsi="Arial" w:cs="Arial"/>
          <w:b/>
          <w:iCs/>
          <w:sz w:val="18"/>
          <w:szCs w:val="18"/>
          <w:lang w:val="en-US"/>
        </w:rPr>
        <w:t>catalogue</w:t>
      </w:r>
      <w:r w:rsidR="00F11454" w:rsidRPr="00F11454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F11454">
        <w:rPr>
          <w:rFonts w:ascii="Arial" w:hAnsi="Arial" w:cs="Arial"/>
          <w:b/>
          <w:iCs/>
          <w:sz w:val="18"/>
          <w:szCs w:val="18"/>
          <w:lang w:val="en-US"/>
        </w:rPr>
        <w:t>&amp;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samples as mention in the ITB in page number </w:t>
      </w:r>
      <w:r w:rsidR="00F11454">
        <w:rPr>
          <w:rFonts w:ascii="Arial" w:hAnsi="Arial" w:cs="Arial"/>
          <w:b/>
          <w:iCs/>
          <w:sz w:val="18"/>
          <w:szCs w:val="18"/>
          <w:lang w:val="en-US"/>
        </w:rPr>
        <w:t>3.</w:t>
      </w:r>
    </w:p>
    <w:p w:rsidR="00875D9A" w:rsidRP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must have a physical participation </w:t>
      </w:r>
      <w:r>
        <w:rPr>
          <w:rFonts w:ascii="Arial" w:hAnsi="Arial" w:cs="Arial"/>
          <w:b/>
          <w:iCs/>
          <w:sz w:val="18"/>
          <w:szCs w:val="18"/>
          <w:lang w:val="en-US"/>
        </w:rPr>
        <w:t>in Yemen under the company name.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</w:p>
    <w:p w:rsidR="00D10C06" w:rsidRPr="00D10C06" w:rsidRDefault="001B460E" w:rsidP="001B460E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Bank guarantee 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with value </w:t>
      </w:r>
      <w:r>
        <w:rPr>
          <w:rFonts w:ascii="Arial" w:hAnsi="Arial" w:cs="Arial"/>
          <w:b/>
          <w:iCs/>
          <w:sz w:val="18"/>
          <w:szCs w:val="18"/>
          <w:lang w:val="en-US"/>
        </w:rPr>
        <w:t>10,000 USD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valid for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three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months as willingness proof to participate to NRC </w:t>
      </w:r>
      <w:r w:rsidR="00975147">
        <w:rPr>
          <w:rFonts w:ascii="Arial" w:hAnsi="Arial" w:cs="Arial"/>
          <w:b/>
          <w:iCs/>
          <w:sz w:val="18"/>
          <w:szCs w:val="18"/>
          <w:lang w:val="en-US"/>
        </w:rPr>
        <w:t>LTAs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(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 xml:space="preserve">To </w:t>
      </w:r>
      <w:proofErr w:type="gramStart"/>
      <w:r w:rsidR="00D10C06">
        <w:rPr>
          <w:rFonts w:ascii="Arial" w:hAnsi="Arial" w:cs="Arial"/>
          <w:b/>
          <w:iCs/>
          <w:sz w:val="18"/>
          <w:szCs w:val="18"/>
          <w:lang w:val="en-US"/>
        </w:rPr>
        <w:t>be submitted</w:t>
      </w:r>
      <w:proofErr w:type="gramEnd"/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separately out of the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 xml:space="preserve"> financial &amp; technical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sealed envelopes).</w:t>
      </w:r>
    </w:p>
    <w:p w:rsidR="00875D9A" w:rsidRPr="00D10C06" w:rsidRDefault="00875D9A" w:rsidP="002D7C39">
      <w:pPr>
        <w:spacing w:after="240"/>
        <w:jc w:val="lowKashida"/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Bids should be submitted in </w:t>
      </w:r>
      <w:r w:rsidR="00157F5E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a physical sealed envelope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as stated above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to the Norwegian Refugee Council Offices in Yemen by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Date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="002D7C39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24</w:t>
      </w:r>
      <w:r w:rsidR="002D7C39" w:rsidRPr="002D7C39">
        <w:rPr>
          <w:rFonts w:ascii="Arial" w:hAnsi="Arial" w:cs="Arial"/>
          <w:b/>
          <w:bCs/>
          <w:color w:val="4472C4" w:themeColor="accent5"/>
          <w:sz w:val="22"/>
          <w:szCs w:val="22"/>
          <w:vertAlign w:val="superscript"/>
          <w:lang w:val="en-US" w:eastAsia="en-US"/>
        </w:rPr>
        <w:t>th</w:t>
      </w:r>
      <w:r w:rsidR="002D7C39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June, 2021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 Before 03:00 pm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(Late bids will not be considered)</w:t>
      </w:r>
    </w:p>
    <w:p w:rsidR="00CF2E25" w:rsidRPr="00875D9A" w:rsidRDefault="00CF2E25" w:rsidP="00AF6C8C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F11454" w:rsidRDefault="00F11454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F11454" w:rsidRDefault="00F11454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C22AD8" w:rsidRPr="00C22AD8" w:rsidRDefault="00C22AD8" w:rsidP="00C22AD8">
      <w:pPr>
        <w:bidi/>
        <w:rPr>
          <w:rFonts w:asciiTheme="majorBidi" w:hAnsiTheme="majorBidi" w:cstheme="majorBidi"/>
          <w:bCs/>
          <w:lang w:val="en-US"/>
        </w:rPr>
      </w:pPr>
    </w:p>
    <w:sectPr w:rsidR="00C22AD8" w:rsidRPr="00C22AD8" w:rsidSect="00C22AD8">
      <w:pgSz w:w="12240" w:h="15840"/>
      <w:pgMar w:top="63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A5"/>
    <w:multiLevelType w:val="hybridMultilevel"/>
    <w:tmpl w:val="C904267E"/>
    <w:lvl w:ilvl="0" w:tplc="42D4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130"/>
    <w:multiLevelType w:val="hybridMultilevel"/>
    <w:tmpl w:val="A3CE9AD2"/>
    <w:lvl w:ilvl="0" w:tplc="08A27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673B"/>
    <w:multiLevelType w:val="hybridMultilevel"/>
    <w:tmpl w:val="740A08CA"/>
    <w:lvl w:ilvl="0" w:tplc="82AA35EE">
      <w:start w:val="1"/>
      <w:numFmt w:val="decimal"/>
      <w:lvlText w:val="2.%1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86E00"/>
    <w:multiLevelType w:val="hybridMultilevel"/>
    <w:tmpl w:val="85E6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999"/>
    <w:multiLevelType w:val="hybridMultilevel"/>
    <w:tmpl w:val="C54443E8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556"/>
    <w:multiLevelType w:val="hybridMultilevel"/>
    <w:tmpl w:val="CFC670AA"/>
    <w:lvl w:ilvl="0" w:tplc="36E42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47E4"/>
    <w:multiLevelType w:val="hybridMultilevel"/>
    <w:tmpl w:val="7FB0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1F57"/>
    <w:multiLevelType w:val="hybridMultilevel"/>
    <w:tmpl w:val="056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292D"/>
    <w:multiLevelType w:val="multilevel"/>
    <w:tmpl w:val="D8B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22436"/>
    <w:multiLevelType w:val="hybridMultilevel"/>
    <w:tmpl w:val="D9369F38"/>
    <w:lvl w:ilvl="0" w:tplc="95C6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BF5"/>
    <w:multiLevelType w:val="hybridMultilevel"/>
    <w:tmpl w:val="15B04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5"/>
    <w:rsid w:val="00041B71"/>
    <w:rsid w:val="00084C8B"/>
    <w:rsid w:val="00090A70"/>
    <w:rsid w:val="00092012"/>
    <w:rsid w:val="00113144"/>
    <w:rsid w:val="0014641A"/>
    <w:rsid w:val="00157F5E"/>
    <w:rsid w:val="00177AD2"/>
    <w:rsid w:val="001B460E"/>
    <w:rsid w:val="001F11D8"/>
    <w:rsid w:val="00220CF7"/>
    <w:rsid w:val="002670A4"/>
    <w:rsid w:val="00277C9E"/>
    <w:rsid w:val="00293E03"/>
    <w:rsid w:val="002D7C39"/>
    <w:rsid w:val="002E4E3C"/>
    <w:rsid w:val="0034192F"/>
    <w:rsid w:val="003653F9"/>
    <w:rsid w:val="003A622E"/>
    <w:rsid w:val="003F0D26"/>
    <w:rsid w:val="00453374"/>
    <w:rsid w:val="00465E87"/>
    <w:rsid w:val="00493D72"/>
    <w:rsid w:val="004A694E"/>
    <w:rsid w:val="004C34E7"/>
    <w:rsid w:val="004C50C4"/>
    <w:rsid w:val="004C60BE"/>
    <w:rsid w:val="004D1C50"/>
    <w:rsid w:val="004E4FD4"/>
    <w:rsid w:val="004F581C"/>
    <w:rsid w:val="00501157"/>
    <w:rsid w:val="00501A12"/>
    <w:rsid w:val="00522F11"/>
    <w:rsid w:val="005236E0"/>
    <w:rsid w:val="00523F95"/>
    <w:rsid w:val="00530884"/>
    <w:rsid w:val="00540557"/>
    <w:rsid w:val="005619E0"/>
    <w:rsid w:val="00590358"/>
    <w:rsid w:val="005B3BEF"/>
    <w:rsid w:val="005C123F"/>
    <w:rsid w:val="005E7AE6"/>
    <w:rsid w:val="00622C38"/>
    <w:rsid w:val="00653580"/>
    <w:rsid w:val="00683C6E"/>
    <w:rsid w:val="006B0979"/>
    <w:rsid w:val="006D0714"/>
    <w:rsid w:val="006D3F0E"/>
    <w:rsid w:val="006D4F25"/>
    <w:rsid w:val="00701C96"/>
    <w:rsid w:val="00703A55"/>
    <w:rsid w:val="00705474"/>
    <w:rsid w:val="007470DD"/>
    <w:rsid w:val="0075000F"/>
    <w:rsid w:val="007A5A1D"/>
    <w:rsid w:val="007E1085"/>
    <w:rsid w:val="007E54CC"/>
    <w:rsid w:val="00813D39"/>
    <w:rsid w:val="00821BE3"/>
    <w:rsid w:val="00866F7A"/>
    <w:rsid w:val="008752DB"/>
    <w:rsid w:val="00875D9A"/>
    <w:rsid w:val="00923491"/>
    <w:rsid w:val="009268EE"/>
    <w:rsid w:val="009440B6"/>
    <w:rsid w:val="00975147"/>
    <w:rsid w:val="009C21F2"/>
    <w:rsid w:val="00A075B6"/>
    <w:rsid w:val="00A77DD3"/>
    <w:rsid w:val="00AA1C47"/>
    <w:rsid w:val="00AF297A"/>
    <w:rsid w:val="00AF6C8C"/>
    <w:rsid w:val="00B21BA3"/>
    <w:rsid w:val="00B23138"/>
    <w:rsid w:val="00B2471B"/>
    <w:rsid w:val="00B34D0C"/>
    <w:rsid w:val="00B605F6"/>
    <w:rsid w:val="00B61F1D"/>
    <w:rsid w:val="00BA2CA8"/>
    <w:rsid w:val="00BA50D3"/>
    <w:rsid w:val="00BA6AC5"/>
    <w:rsid w:val="00BE14FD"/>
    <w:rsid w:val="00BF1595"/>
    <w:rsid w:val="00C22AD8"/>
    <w:rsid w:val="00C56F51"/>
    <w:rsid w:val="00CA4804"/>
    <w:rsid w:val="00CF2E25"/>
    <w:rsid w:val="00D10C06"/>
    <w:rsid w:val="00D162C6"/>
    <w:rsid w:val="00D545B2"/>
    <w:rsid w:val="00D81A51"/>
    <w:rsid w:val="00DB1781"/>
    <w:rsid w:val="00DB2738"/>
    <w:rsid w:val="00DE758E"/>
    <w:rsid w:val="00E106C8"/>
    <w:rsid w:val="00E7727A"/>
    <w:rsid w:val="00EF4548"/>
    <w:rsid w:val="00F11454"/>
    <w:rsid w:val="00F3509C"/>
    <w:rsid w:val="00F41F39"/>
    <w:rsid w:val="00F77346"/>
    <w:rsid w:val="00FE0D4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40E7"/>
  <w15:chartTrackingRefBased/>
  <w15:docId w15:val="{8395301F-AB3A-4225-BBE6-E570234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CF2E2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E2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2E25"/>
    <w:rPr>
      <w:b/>
      <w:bCs/>
    </w:rPr>
  </w:style>
  <w:style w:type="paragraph" w:styleId="NormalWeb">
    <w:name w:val="Normal (Web)"/>
    <w:basedOn w:val="Normal"/>
    <w:uiPriority w:val="99"/>
    <w:unhideWhenUsed/>
    <w:rsid w:val="00CF2E2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CF2E25"/>
    <w:rPr>
      <w:i/>
      <w:iCs/>
    </w:rPr>
  </w:style>
  <w:style w:type="paragraph" w:styleId="ListParagraph">
    <w:name w:val="List Paragraph"/>
    <w:basedOn w:val="Normal"/>
    <w:uiPriority w:val="34"/>
    <w:qFormat/>
    <w:rsid w:val="00CF2E25"/>
    <w:pPr>
      <w:ind w:left="720"/>
      <w:contextualSpacing/>
    </w:pPr>
  </w:style>
  <w:style w:type="table" w:styleId="TableGrid">
    <w:name w:val="Table Grid"/>
    <w:basedOn w:val="TableNormal"/>
    <w:rsid w:val="00CF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7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72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2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E106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6C8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4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.procurement@nrc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wegianrefugeecouncil-my.sharepoint.com/:u:/g/personal/bassam_alsharjabie_nrc_no/Eb-t_CSOr4RLrTLfmawW0q4B1K_rNGYv3r7gbgxo7tRINQ?e=TdyN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6C9B-4F7B-4421-9C2F-5CB0307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 Assistant</dc:creator>
  <cp:keywords/>
  <dc:description/>
  <cp:lastModifiedBy>Bassam Al-Sharjabie</cp:lastModifiedBy>
  <cp:revision>9</cp:revision>
  <dcterms:created xsi:type="dcterms:W3CDTF">2020-10-08T08:06:00Z</dcterms:created>
  <dcterms:modified xsi:type="dcterms:W3CDTF">2021-06-02T18:44:00Z</dcterms:modified>
</cp:coreProperties>
</file>