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5A35" w14:textId="77777777" w:rsidR="00DF35E4" w:rsidRDefault="00DF35E4">
      <w:pPr>
        <w:spacing w:after="120"/>
      </w:pPr>
    </w:p>
    <w:p w14:paraId="3C3E7022" w14:textId="77777777" w:rsidR="00DF35E4" w:rsidRDefault="00000000">
      <w:pPr>
        <w:spacing w:after="60"/>
      </w:pPr>
      <w:r>
        <w:rPr>
          <w:rFonts w:ascii="Arial" w:eastAsia="Arial" w:hAnsi="Arial" w:cs="Arial"/>
          <w:b/>
          <w:bCs/>
          <w:color w:val="E87722"/>
          <w:sz w:val="44"/>
          <w:szCs w:val="44"/>
        </w:rPr>
        <w:t>Terms of Reference</w:t>
      </w:r>
    </w:p>
    <w:p w14:paraId="426089C4" w14:textId="77777777" w:rsidR="00DF35E4" w:rsidRDefault="00DF35E4">
      <w:pPr>
        <w:spacing w:after="60"/>
      </w:pPr>
    </w:p>
    <w:p w14:paraId="0C91EDA3" w14:textId="77777777" w:rsidR="00DF35E4" w:rsidRDefault="00000000">
      <w:pPr>
        <w:spacing w:after="80"/>
      </w:pPr>
      <w:r>
        <w:rPr>
          <w:rFonts w:ascii="Arial" w:eastAsia="Arial" w:hAnsi="Arial" w:cs="Arial"/>
          <w:b/>
          <w:bCs/>
          <w:color w:val="333333"/>
          <w:sz w:val="26"/>
          <w:szCs w:val="26"/>
        </w:rPr>
        <w:t>Consultancy for the Climate Financing Deep Dive</w:t>
      </w:r>
    </w:p>
    <w:p w14:paraId="555639FD" w14:textId="77777777" w:rsidR="00DF35E4" w:rsidRDefault="00000000">
      <w:pPr>
        <w:spacing w:after="80"/>
      </w:pPr>
      <w:r>
        <w:rPr>
          <w:rFonts w:ascii="Arial" w:eastAsia="Arial" w:hAnsi="Arial" w:cs="Arial"/>
          <w:b/>
          <w:bCs/>
          <w:color w:val="333333"/>
          <w:sz w:val="26"/>
          <w:szCs w:val="26"/>
        </w:rPr>
        <w:t>Latin America and the Caribbean</w:t>
      </w:r>
    </w:p>
    <w:p w14:paraId="67FB8C74" w14:textId="77777777" w:rsidR="00DF35E4" w:rsidRDefault="00DF35E4">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638"/>
      </w:tblGrid>
      <w:tr w:rsidR="00DF35E4" w14:paraId="3E12FCAE" w14:textId="77777777">
        <w:tc>
          <w:tcPr>
            <w:tcW w:w="2000" w:type="dxa"/>
            <w:tcBorders>
              <w:top w:val="none" w:sz="0" w:space="0" w:color="FFFFFF"/>
              <w:left w:val="none" w:sz="0" w:space="0" w:color="FFFFFF"/>
              <w:bottom w:val="none" w:sz="0" w:space="0" w:color="FFFFFF"/>
              <w:right w:val="none" w:sz="0" w:space="0" w:color="FFFFFF"/>
            </w:tcBorders>
          </w:tcPr>
          <w:p w14:paraId="38482D69" w14:textId="77777777" w:rsidR="00DF35E4" w:rsidRDefault="00000000">
            <w:r>
              <w:rPr>
                <w:rFonts w:ascii="Arial" w:eastAsia="Arial" w:hAnsi="Arial" w:cs="Arial"/>
                <w:b/>
                <w:bCs/>
                <w:color w:val="333333"/>
              </w:rPr>
              <w:t>Duration:</w:t>
            </w:r>
          </w:p>
        </w:tc>
        <w:tc>
          <w:tcPr>
            <w:tcW w:w="7638" w:type="dxa"/>
            <w:tcBorders>
              <w:top w:val="none" w:sz="0" w:space="0" w:color="FFFFFF"/>
              <w:left w:val="none" w:sz="0" w:space="0" w:color="FFFFFF"/>
              <w:bottom w:val="none" w:sz="0" w:space="0" w:color="FFFFFF"/>
              <w:right w:val="none" w:sz="0" w:space="0" w:color="FFFFFF"/>
            </w:tcBorders>
          </w:tcPr>
          <w:p w14:paraId="4402E4DE" w14:textId="77777777" w:rsidR="00DF35E4" w:rsidRDefault="00000000">
            <w:r>
              <w:rPr>
                <w:rFonts w:ascii="Arial" w:eastAsia="Arial" w:hAnsi="Arial" w:cs="Arial"/>
                <w:color w:val="333333"/>
              </w:rPr>
              <w:t>20 working days over a period of 4 months</w:t>
            </w:r>
          </w:p>
        </w:tc>
      </w:tr>
    </w:tbl>
    <w:p w14:paraId="7974657E" w14:textId="77777777" w:rsidR="00DF35E4" w:rsidRDefault="00DF35E4">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638"/>
      </w:tblGrid>
      <w:tr w:rsidR="00DF35E4" w14:paraId="38F1DBCE" w14:textId="77777777">
        <w:tc>
          <w:tcPr>
            <w:tcW w:w="2000" w:type="dxa"/>
            <w:tcBorders>
              <w:top w:val="none" w:sz="0" w:space="0" w:color="FFFFFF"/>
              <w:left w:val="none" w:sz="0" w:space="0" w:color="FFFFFF"/>
              <w:bottom w:val="none" w:sz="0" w:space="0" w:color="FFFFFF"/>
              <w:right w:val="none" w:sz="0" w:space="0" w:color="FFFFFF"/>
            </w:tcBorders>
          </w:tcPr>
          <w:p w14:paraId="01667B27" w14:textId="77777777" w:rsidR="00DF35E4" w:rsidRDefault="00000000">
            <w:r>
              <w:rPr>
                <w:rFonts w:ascii="Arial" w:eastAsia="Arial" w:hAnsi="Arial" w:cs="Arial"/>
                <w:b/>
                <w:bCs/>
                <w:color w:val="333333"/>
              </w:rPr>
              <w:t>Indicative period:</w:t>
            </w:r>
          </w:p>
        </w:tc>
        <w:tc>
          <w:tcPr>
            <w:tcW w:w="7638" w:type="dxa"/>
            <w:tcBorders>
              <w:top w:val="none" w:sz="0" w:space="0" w:color="FFFFFF"/>
              <w:left w:val="none" w:sz="0" w:space="0" w:color="FFFFFF"/>
              <w:bottom w:val="none" w:sz="0" w:space="0" w:color="FFFFFF"/>
              <w:right w:val="none" w:sz="0" w:space="0" w:color="FFFFFF"/>
            </w:tcBorders>
          </w:tcPr>
          <w:p w14:paraId="538F3BB1" w14:textId="77777777" w:rsidR="00DF35E4" w:rsidRDefault="00000000">
            <w:r>
              <w:rPr>
                <w:rFonts w:ascii="Arial" w:eastAsia="Arial" w:hAnsi="Arial" w:cs="Arial"/>
                <w:color w:val="333333"/>
              </w:rPr>
              <w:t>August – November 2026</w:t>
            </w:r>
          </w:p>
        </w:tc>
      </w:tr>
    </w:tbl>
    <w:p w14:paraId="318A3F5C" w14:textId="77777777" w:rsidR="00DF35E4" w:rsidRDefault="00DF35E4">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638"/>
      </w:tblGrid>
      <w:tr w:rsidR="00DF35E4" w14:paraId="1760037A" w14:textId="77777777">
        <w:tc>
          <w:tcPr>
            <w:tcW w:w="2000" w:type="dxa"/>
            <w:tcBorders>
              <w:top w:val="none" w:sz="0" w:space="0" w:color="FFFFFF"/>
              <w:left w:val="none" w:sz="0" w:space="0" w:color="FFFFFF"/>
              <w:bottom w:val="none" w:sz="0" w:space="0" w:color="FFFFFF"/>
              <w:right w:val="none" w:sz="0" w:space="0" w:color="FFFFFF"/>
            </w:tcBorders>
          </w:tcPr>
          <w:p w14:paraId="1FAD77E1" w14:textId="77777777" w:rsidR="00DF35E4" w:rsidRDefault="00000000">
            <w:r>
              <w:rPr>
                <w:rFonts w:ascii="Arial" w:eastAsia="Arial" w:hAnsi="Arial" w:cs="Arial"/>
                <w:b/>
                <w:bCs/>
                <w:color w:val="333333"/>
              </w:rPr>
              <w:t>Responsible:</w:t>
            </w:r>
          </w:p>
        </w:tc>
        <w:tc>
          <w:tcPr>
            <w:tcW w:w="7638" w:type="dxa"/>
            <w:tcBorders>
              <w:top w:val="none" w:sz="0" w:space="0" w:color="FFFFFF"/>
              <w:left w:val="none" w:sz="0" w:space="0" w:color="FFFFFF"/>
              <w:bottom w:val="none" w:sz="0" w:space="0" w:color="FFFFFF"/>
              <w:right w:val="none" w:sz="0" w:space="0" w:color="FFFFFF"/>
            </w:tcBorders>
          </w:tcPr>
          <w:p w14:paraId="5CDCA2D7" w14:textId="77777777" w:rsidR="00DF35E4" w:rsidRDefault="00000000">
            <w:r>
              <w:rPr>
                <w:rFonts w:ascii="Arial" w:eastAsia="Arial" w:hAnsi="Arial" w:cs="Arial"/>
                <w:color w:val="333333"/>
              </w:rPr>
              <w:t>Anna Kondakhchyan, Global Policy Lead, NORCAP</w:t>
            </w:r>
          </w:p>
        </w:tc>
      </w:tr>
    </w:tbl>
    <w:p w14:paraId="59720BFA" w14:textId="77777777" w:rsidR="00DF35E4" w:rsidRDefault="00DF35E4">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638"/>
      </w:tblGrid>
      <w:tr w:rsidR="00DF35E4" w14:paraId="161A7723" w14:textId="77777777">
        <w:tc>
          <w:tcPr>
            <w:tcW w:w="2000" w:type="dxa"/>
            <w:tcBorders>
              <w:top w:val="none" w:sz="0" w:space="0" w:color="FFFFFF"/>
              <w:left w:val="none" w:sz="0" w:space="0" w:color="FFFFFF"/>
              <w:bottom w:val="none" w:sz="0" w:space="0" w:color="FFFFFF"/>
              <w:right w:val="none" w:sz="0" w:space="0" w:color="FFFFFF"/>
            </w:tcBorders>
          </w:tcPr>
          <w:p w14:paraId="0742598E" w14:textId="77777777" w:rsidR="00DF35E4" w:rsidRDefault="00000000">
            <w:r>
              <w:rPr>
                <w:rFonts w:ascii="Arial" w:eastAsia="Arial" w:hAnsi="Arial" w:cs="Arial"/>
                <w:b/>
                <w:bCs/>
                <w:color w:val="333333"/>
              </w:rPr>
              <w:t>Location:</w:t>
            </w:r>
          </w:p>
        </w:tc>
        <w:tc>
          <w:tcPr>
            <w:tcW w:w="7638" w:type="dxa"/>
            <w:tcBorders>
              <w:top w:val="none" w:sz="0" w:space="0" w:color="FFFFFF"/>
              <w:left w:val="none" w:sz="0" w:space="0" w:color="FFFFFF"/>
              <w:bottom w:val="none" w:sz="0" w:space="0" w:color="FFFFFF"/>
              <w:right w:val="none" w:sz="0" w:space="0" w:color="FFFFFF"/>
            </w:tcBorders>
          </w:tcPr>
          <w:p w14:paraId="17724700" w14:textId="77777777" w:rsidR="00DF35E4" w:rsidRDefault="00000000">
            <w:r>
              <w:rPr>
                <w:rFonts w:ascii="Arial" w:eastAsia="Arial" w:hAnsi="Arial" w:cs="Arial"/>
                <w:color w:val="333333"/>
              </w:rPr>
              <w:t>Home-based with availability for remote consultations</w:t>
            </w:r>
          </w:p>
        </w:tc>
      </w:tr>
    </w:tbl>
    <w:p w14:paraId="10592CAB" w14:textId="77777777" w:rsidR="00DF35E4" w:rsidRDefault="00DF35E4">
      <w:pPr>
        <w:spacing w:after="200"/>
      </w:pPr>
    </w:p>
    <w:p w14:paraId="48136361" w14:textId="77777777" w:rsidR="00DF35E4" w:rsidRDefault="00000000">
      <w:pPr>
        <w:spacing w:before="200" w:after="80"/>
      </w:pPr>
      <w:r>
        <w:rPr>
          <w:rFonts w:ascii="Arial" w:eastAsia="Arial" w:hAnsi="Arial" w:cs="Arial"/>
          <w:b/>
          <w:bCs/>
          <w:color w:val="E87722"/>
          <w:sz w:val="30"/>
          <w:szCs w:val="30"/>
        </w:rPr>
        <w:t>Background information</w:t>
      </w:r>
    </w:p>
    <w:p w14:paraId="2AD8501D" w14:textId="77777777" w:rsidR="00DF35E4" w:rsidRDefault="00DF35E4">
      <w:pPr>
        <w:pBdr>
          <w:bottom w:val="single" w:sz="6" w:space="0" w:color="E87722"/>
        </w:pBdr>
        <w:spacing w:before="80" w:after="80"/>
      </w:pPr>
    </w:p>
    <w:p w14:paraId="47863423" w14:textId="77777777" w:rsidR="00DF35E4" w:rsidRDefault="00DF35E4">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9638"/>
      </w:tblGrid>
      <w:tr w:rsidR="00DF35E4" w14:paraId="2A9CF306" w14:textId="77777777" w:rsidTr="00172562">
        <w:tc>
          <w:tcPr>
            <w:tcW w:w="9638" w:type="dxa"/>
            <w:tcBorders>
              <w:top w:val="single" w:sz="4" w:space="0" w:color="CCCCCC"/>
              <w:left w:val="single" w:sz="4" w:space="0" w:color="CCCCCC"/>
              <w:bottom w:val="none" w:sz="0" w:space="0" w:color="FFFFFF"/>
              <w:right w:val="single" w:sz="4" w:space="0" w:color="CCCCCC"/>
            </w:tcBorders>
            <w:shd w:val="clear" w:color="auto" w:fill="F2F2F2" w:themeFill="background1" w:themeFillShade="F2"/>
            <w:tcMar>
              <w:top w:w="80" w:type="dxa"/>
              <w:left w:w="140" w:type="dxa"/>
              <w:bottom w:w="40" w:type="dxa"/>
              <w:right w:w="140" w:type="dxa"/>
            </w:tcMar>
          </w:tcPr>
          <w:p w14:paraId="028B071F" w14:textId="77777777" w:rsidR="00DF35E4" w:rsidRDefault="00000000">
            <w:r>
              <w:rPr>
                <w:rFonts w:ascii="Arial" w:eastAsia="Arial" w:hAnsi="Arial" w:cs="Arial"/>
                <w:i/>
                <w:iCs/>
                <w:color w:val="666666"/>
                <w:sz w:val="21"/>
                <w:szCs w:val="21"/>
              </w:rPr>
              <w:t>Who we are: NORCAP</w:t>
            </w:r>
          </w:p>
        </w:tc>
      </w:tr>
      <w:tr w:rsidR="00DF35E4" w14:paraId="1A455DF8"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622400F3" w14:textId="77777777" w:rsidR="00DF35E4" w:rsidRDefault="00000000">
            <w:pPr>
              <w:spacing w:before="40" w:after="80"/>
            </w:pPr>
            <w:r>
              <w:rPr>
                <w:rFonts w:ascii="Arial" w:eastAsia="Arial" w:hAnsi="Arial" w:cs="Arial"/>
                <w:color w:val="333333"/>
              </w:rPr>
              <w:t>NORCAP works to improve aid to better protect and empower people affected by crisis and climate change. We do this by providing expertise and solutions to humanitarian, development and peacebuilding partners.</w:t>
            </w:r>
          </w:p>
        </w:tc>
      </w:tr>
      <w:tr w:rsidR="00DF35E4" w14:paraId="1EC7E2B6"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7232B7F3" w14:textId="77777777" w:rsidR="00DF35E4" w:rsidRDefault="00000000">
            <w:pPr>
              <w:spacing w:before="40" w:after="80"/>
            </w:pPr>
            <w:r>
              <w:rPr>
                <w:rFonts w:ascii="Arial" w:eastAsia="Arial" w:hAnsi="Arial" w:cs="Arial"/>
                <w:color w:val="333333"/>
              </w:rPr>
              <w:t>NORCAP works in two complementary ways to improve aid:</w:t>
            </w:r>
          </w:p>
        </w:tc>
      </w:tr>
      <w:tr w:rsidR="00DF35E4" w14:paraId="42D0FB3C"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7551164A" w14:textId="77777777" w:rsidR="00DF35E4" w:rsidRDefault="00000000">
            <w:pPr>
              <w:pStyle w:val="ListParagraph"/>
              <w:numPr>
                <w:ilvl w:val="0"/>
                <w:numId w:val="2"/>
              </w:numPr>
              <w:spacing w:before="40" w:after="40"/>
            </w:pPr>
            <w:r>
              <w:rPr>
                <w:rFonts w:ascii="Arial" w:eastAsia="Arial" w:hAnsi="Arial" w:cs="Arial"/>
                <w:color w:val="333333"/>
              </w:rPr>
              <w:t>We provide targeted expertise to strengthen our partners’ response.</w:t>
            </w:r>
          </w:p>
        </w:tc>
      </w:tr>
      <w:tr w:rsidR="00DF35E4" w14:paraId="351A649C"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66430B6E" w14:textId="77777777" w:rsidR="00DF35E4" w:rsidRDefault="00000000">
            <w:pPr>
              <w:pStyle w:val="ListParagraph"/>
              <w:numPr>
                <w:ilvl w:val="0"/>
                <w:numId w:val="2"/>
              </w:numPr>
              <w:spacing w:before="40" w:after="40"/>
            </w:pPr>
            <w:r>
              <w:rPr>
                <w:rFonts w:ascii="Arial" w:eastAsia="Arial" w:hAnsi="Arial" w:cs="Arial"/>
                <w:color w:val="333333"/>
              </w:rPr>
              <w:t>We collaborate with partners to develop solutions to unmet gaps and challenges.</w:t>
            </w:r>
          </w:p>
        </w:tc>
      </w:tr>
      <w:tr w:rsidR="00DF35E4" w14:paraId="2218C1C3"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509292DB" w14:textId="77777777" w:rsidR="00DF35E4" w:rsidRDefault="00DF35E4">
            <w:pPr>
              <w:spacing w:after="40"/>
            </w:pPr>
          </w:p>
        </w:tc>
      </w:tr>
      <w:tr w:rsidR="00DF35E4" w14:paraId="41A387EB" w14:textId="77777777" w:rsidTr="00172562">
        <w:tc>
          <w:tcPr>
            <w:tcW w:w="9638" w:type="dxa"/>
            <w:tcBorders>
              <w:top w:val="none" w:sz="0" w:space="0" w:color="FFFFFF"/>
              <w:left w:val="single" w:sz="4" w:space="0" w:color="CCCCCC"/>
              <w:bottom w:val="single" w:sz="4" w:space="0" w:color="CCCCCC"/>
              <w:right w:val="single" w:sz="4" w:space="0" w:color="CCCCCC"/>
            </w:tcBorders>
            <w:shd w:val="clear" w:color="auto" w:fill="F2F2F2" w:themeFill="background1" w:themeFillShade="F2"/>
            <w:tcMar>
              <w:top w:w="0" w:type="dxa"/>
              <w:left w:w="140" w:type="dxa"/>
              <w:bottom w:w="0" w:type="dxa"/>
              <w:right w:w="140" w:type="dxa"/>
            </w:tcMar>
          </w:tcPr>
          <w:p w14:paraId="2ACE2664" w14:textId="77777777" w:rsidR="00DF35E4" w:rsidRDefault="00000000">
            <w:pPr>
              <w:spacing w:before="40" w:after="80"/>
            </w:pPr>
            <w:r>
              <w:rPr>
                <w:rFonts w:ascii="Arial" w:eastAsia="Arial" w:hAnsi="Arial" w:cs="Arial"/>
                <w:color w:val="333333"/>
              </w:rPr>
              <w:t>NORCAP is a part of the Norwegian Refugee Council. While we share NRC’s focus on humanitarian work, our mandate extends further to also encompass development and peacebuilding efforts. NORCAP works with local, national and international partners to find solutions that meet the needs of people at risk.</w:t>
            </w:r>
          </w:p>
        </w:tc>
      </w:tr>
    </w:tbl>
    <w:p w14:paraId="39A2280D" w14:textId="77777777" w:rsidR="00DF35E4" w:rsidRDefault="00DF35E4" w:rsidP="00172562"/>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9638"/>
      </w:tblGrid>
      <w:tr w:rsidR="00DF35E4" w14:paraId="6EAFEBFF" w14:textId="77777777" w:rsidTr="00172562">
        <w:tc>
          <w:tcPr>
            <w:tcW w:w="9638" w:type="dxa"/>
            <w:tcBorders>
              <w:top w:val="single" w:sz="4" w:space="0" w:color="CCCCCC"/>
              <w:left w:val="single" w:sz="4" w:space="0" w:color="CCCCCC"/>
              <w:bottom w:val="none" w:sz="0" w:space="0" w:color="FFFFFF"/>
              <w:right w:val="single" w:sz="4" w:space="0" w:color="CCCCCC"/>
            </w:tcBorders>
            <w:shd w:val="clear" w:color="auto" w:fill="F2F2F2" w:themeFill="background1" w:themeFillShade="F2"/>
            <w:tcMar>
              <w:top w:w="80" w:type="dxa"/>
              <w:left w:w="140" w:type="dxa"/>
              <w:bottom w:w="40" w:type="dxa"/>
              <w:right w:w="140" w:type="dxa"/>
            </w:tcMar>
          </w:tcPr>
          <w:p w14:paraId="1CE740DC" w14:textId="77777777" w:rsidR="00DF35E4" w:rsidRDefault="00000000">
            <w:r>
              <w:rPr>
                <w:rFonts w:ascii="Arial" w:eastAsia="Arial" w:hAnsi="Arial" w:cs="Arial"/>
                <w:i/>
                <w:iCs/>
                <w:color w:val="666666"/>
                <w:sz w:val="21"/>
                <w:szCs w:val="21"/>
              </w:rPr>
              <w:t>Our work</w:t>
            </w:r>
          </w:p>
        </w:tc>
      </w:tr>
      <w:tr w:rsidR="00DF35E4" w14:paraId="300BFD3C" w14:textId="77777777" w:rsidTr="00172562">
        <w:tc>
          <w:tcPr>
            <w:tcW w:w="9638" w:type="dxa"/>
            <w:tcBorders>
              <w:top w:val="none" w:sz="0" w:space="0" w:color="FFFFFF"/>
              <w:left w:val="single" w:sz="4" w:space="0" w:color="CCCCCC"/>
              <w:bottom w:val="single" w:sz="4" w:space="0" w:color="CCCCCC"/>
              <w:right w:val="single" w:sz="4" w:space="0" w:color="CCCCCC"/>
            </w:tcBorders>
            <w:shd w:val="clear" w:color="auto" w:fill="F2F2F2" w:themeFill="background1" w:themeFillShade="F2"/>
            <w:tcMar>
              <w:top w:w="0" w:type="dxa"/>
              <w:left w:w="140" w:type="dxa"/>
              <w:bottom w:w="0" w:type="dxa"/>
              <w:right w:w="140" w:type="dxa"/>
            </w:tcMar>
          </w:tcPr>
          <w:p w14:paraId="6DFD78B1" w14:textId="03CDBACA" w:rsidR="00DF35E4" w:rsidRDefault="00000000">
            <w:pPr>
              <w:spacing w:before="40" w:after="80"/>
            </w:pPr>
            <w:r>
              <w:rPr>
                <w:rFonts w:ascii="Arial" w:eastAsia="Arial" w:hAnsi="Arial" w:cs="Arial"/>
                <w:color w:val="333333"/>
              </w:rPr>
              <w:t>NORCAP has built a multi-layer engagement model in Latin America and the Caribbean (LAC) — combining regional policy advisory, embedded technical expertise within intergovernmental organisations (IGOs), and targeted country-level support — that now positions NORCAP as a trusted partner at both regional and national level, providing the foundation and strategic rationale for the development of a dedicated Regional Roadmap for Strategic Engagement in LAC (202</w:t>
            </w:r>
            <w:r w:rsidR="00594B33">
              <w:rPr>
                <w:rFonts w:ascii="Arial" w:eastAsia="Arial" w:hAnsi="Arial" w:cs="Arial"/>
                <w:color w:val="333333"/>
              </w:rPr>
              <w:t>7</w:t>
            </w:r>
            <w:r>
              <w:rPr>
                <w:rFonts w:ascii="Arial" w:eastAsia="Arial" w:hAnsi="Arial" w:cs="Arial"/>
                <w:color w:val="333333"/>
              </w:rPr>
              <w:t>–202</w:t>
            </w:r>
            <w:r w:rsidR="00594B33">
              <w:rPr>
                <w:rFonts w:ascii="Arial" w:eastAsia="Arial" w:hAnsi="Arial" w:cs="Arial"/>
                <w:color w:val="333333"/>
              </w:rPr>
              <w:t>9</w:t>
            </w:r>
            <w:r>
              <w:rPr>
                <w:rFonts w:ascii="Arial" w:eastAsia="Arial" w:hAnsi="Arial" w:cs="Arial"/>
                <w:color w:val="333333"/>
              </w:rPr>
              <w:t>).</w:t>
            </w:r>
          </w:p>
        </w:tc>
      </w:tr>
    </w:tbl>
    <w:p w14:paraId="56FEC608" w14:textId="77777777" w:rsidR="00DF35E4" w:rsidRDefault="00DF35E4">
      <w:pPr>
        <w:spacing w:after="200"/>
      </w:pPr>
    </w:p>
    <w:p w14:paraId="06FFF594" w14:textId="77777777" w:rsidR="00DF35E4" w:rsidRDefault="00000000">
      <w:pPr>
        <w:spacing w:before="200" w:after="80"/>
      </w:pPr>
      <w:r>
        <w:rPr>
          <w:rFonts w:ascii="Arial" w:eastAsia="Arial" w:hAnsi="Arial" w:cs="Arial"/>
          <w:b/>
          <w:bCs/>
          <w:color w:val="E87722"/>
          <w:sz w:val="30"/>
          <w:szCs w:val="30"/>
        </w:rPr>
        <w:t>Purpose of the work and intended use</w:t>
      </w:r>
    </w:p>
    <w:p w14:paraId="247CEBFC" w14:textId="77777777" w:rsidR="00DF35E4" w:rsidRDefault="00DF35E4">
      <w:pPr>
        <w:pBdr>
          <w:bottom w:val="single" w:sz="6" w:space="0" w:color="E87722"/>
        </w:pBdr>
        <w:spacing w:before="80" w:after="80"/>
      </w:pPr>
    </w:p>
    <w:p w14:paraId="6775E561" w14:textId="77777777" w:rsidR="00DF35E4" w:rsidRDefault="00DF35E4">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9638"/>
      </w:tblGrid>
      <w:tr w:rsidR="00DF35E4" w14:paraId="2B38D12C" w14:textId="77777777" w:rsidTr="00172562">
        <w:tc>
          <w:tcPr>
            <w:tcW w:w="9638" w:type="dxa"/>
            <w:tcBorders>
              <w:top w:val="single" w:sz="4" w:space="0" w:color="CCCCCC"/>
              <w:left w:val="single" w:sz="4" w:space="0" w:color="CCCCCC"/>
              <w:bottom w:val="none" w:sz="0" w:space="0" w:color="FFFFFF"/>
              <w:right w:val="single" w:sz="4" w:space="0" w:color="CCCCCC"/>
            </w:tcBorders>
            <w:shd w:val="clear" w:color="auto" w:fill="F2F2F2" w:themeFill="background1" w:themeFillShade="F2"/>
            <w:tcMar>
              <w:top w:w="80" w:type="dxa"/>
              <w:left w:w="140" w:type="dxa"/>
              <w:bottom w:w="40" w:type="dxa"/>
              <w:right w:w="140" w:type="dxa"/>
            </w:tcMar>
          </w:tcPr>
          <w:p w14:paraId="30EDBB57" w14:textId="77777777" w:rsidR="00DF35E4" w:rsidRDefault="00000000">
            <w:r>
              <w:rPr>
                <w:rFonts w:ascii="Arial" w:eastAsia="Arial" w:hAnsi="Arial" w:cs="Arial"/>
                <w:i/>
                <w:iCs/>
                <w:color w:val="666666"/>
                <w:sz w:val="21"/>
                <w:szCs w:val="21"/>
              </w:rPr>
              <w:t>Overall purpose/objective/mandate:</w:t>
            </w:r>
          </w:p>
        </w:tc>
      </w:tr>
      <w:tr w:rsidR="00DF35E4" w14:paraId="2330EA3E"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3DBD5349" w14:textId="0BDEC6CF" w:rsidR="00DF35E4" w:rsidRDefault="00000000">
            <w:pPr>
              <w:spacing w:before="40" w:after="80"/>
            </w:pPr>
            <w:r>
              <w:rPr>
                <w:rFonts w:ascii="Arial" w:eastAsia="Arial" w:hAnsi="Arial" w:cs="Arial"/>
                <w:color w:val="333333"/>
              </w:rPr>
              <w:t>The primary objective of this consultancy is to produce a rigorous, actionable analysis of the climate financing landscape in Latin America and the Caribbean, with a focus on how NORCAP and its institutional partners can access, influence, and co-fund work in this space. The analysis will serve as the climate financing foundation for the NORCAP Regional Roadmap for Strategic Engagement in LAC (202</w:t>
            </w:r>
            <w:r w:rsidR="00605970">
              <w:rPr>
                <w:rFonts w:ascii="Arial" w:eastAsia="Arial" w:hAnsi="Arial" w:cs="Arial"/>
                <w:color w:val="333333"/>
              </w:rPr>
              <w:t>7</w:t>
            </w:r>
            <w:r>
              <w:rPr>
                <w:rFonts w:ascii="Arial" w:eastAsia="Arial" w:hAnsi="Arial" w:cs="Arial"/>
                <w:color w:val="333333"/>
              </w:rPr>
              <w:t>–202</w:t>
            </w:r>
            <w:r w:rsidR="00605970">
              <w:rPr>
                <w:rFonts w:ascii="Arial" w:eastAsia="Arial" w:hAnsi="Arial" w:cs="Arial"/>
                <w:color w:val="333333"/>
              </w:rPr>
              <w:t>9</w:t>
            </w:r>
            <w:r>
              <w:rPr>
                <w:rFonts w:ascii="Arial" w:eastAsia="Arial" w:hAnsi="Arial" w:cs="Arial"/>
                <w:color w:val="333333"/>
              </w:rPr>
              <w:t>) and will inform NORCAP’s donor engagement and partnership strategy for the next funding cycle.</w:t>
            </w:r>
          </w:p>
        </w:tc>
      </w:tr>
      <w:tr w:rsidR="00DF35E4" w14:paraId="0CF5AE80"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26971462" w14:textId="77777777" w:rsidR="00DF35E4" w:rsidRDefault="00DF35E4">
            <w:pPr>
              <w:spacing w:after="60"/>
            </w:pPr>
          </w:p>
        </w:tc>
      </w:tr>
      <w:tr w:rsidR="00DF35E4" w14:paraId="103572C1"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48340F22" w14:textId="77777777" w:rsidR="00DF35E4" w:rsidRDefault="00000000">
            <w:pPr>
              <w:spacing w:before="40" w:after="80"/>
            </w:pPr>
            <w:r>
              <w:rPr>
                <w:rFonts w:ascii="Arial" w:eastAsia="Arial" w:hAnsi="Arial" w:cs="Arial"/>
                <w:color w:val="333333"/>
              </w:rPr>
              <w:lastRenderedPageBreak/>
              <w:t>The analysis covers five thematic areas:</w:t>
            </w:r>
          </w:p>
        </w:tc>
      </w:tr>
      <w:tr w:rsidR="00DF35E4" w14:paraId="67CE0B8E"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6D802310" w14:textId="77777777" w:rsidR="00DF35E4" w:rsidRDefault="00000000">
            <w:pPr>
              <w:pStyle w:val="ListParagraph"/>
              <w:numPr>
                <w:ilvl w:val="0"/>
                <w:numId w:val="2"/>
              </w:numPr>
              <w:spacing w:before="40" w:after="40"/>
            </w:pPr>
            <w:r>
              <w:rPr>
                <w:rFonts w:ascii="Arial" w:eastAsia="Arial" w:hAnsi="Arial" w:cs="Arial"/>
                <w:b/>
                <w:bCs/>
                <w:color w:val="333333"/>
              </w:rPr>
              <w:t xml:space="preserve">International climate finance architecture – </w:t>
            </w:r>
            <w:r>
              <w:rPr>
                <w:rFonts w:ascii="Arial" w:eastAsia="Arial" w:hAnsi="Arial" w:cs="Arial"/>
                <w:color w:val="333333"/>
              </w:rPr>
              <w:t>International climate finance architecture</w:t>
            </w:r>
          </w:p>
        </w:tc>
      </w:tr>
      <w:tr w:rsidR="00DF35E4" w14:paraId="5E00A83B"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669E3268" w14:textId="77777777" w:rsidR="00DF35E4" w:rsidRDefault="00000000">
            <w:pPr>
              <w:pStyle w:val="ListParagraph"/>
              <w:numPr>
                <w:ilvl w:val="0"/>
                <w:numId w:val="2"/>
              </w:numPr>
              <w:spacing w:before="40" w:after="40"/>
            </w:pPr>
            <w:r>
              <w:rPr>
                <w:rFonts w:ascii="Arial" w:eastAsia="Arial" w:hAnsi="Arial" w:cs="Arial"/>
                <w:b/>
                <w:bCs/>
                <w:color w:val="333333"/>
              </w:rPr>
              <w:t xml:space="preserve">IFI adaptation and resilience windows – </w:t>
            </w:r>
            <w:r>
              <w:rPr>
                <w:rFonts w:ascii="Arial" w:eastAsia="Arial" w:hAnsi="Arial" w:cs="Arial"/>
                <w:color w:val="333333"/>
              </w:rPr>
              <w:t>IFI adaptation and resilience windows</w:t>
            </w:r>
          </w:p>
        </w:tc>
      </w:tr>
      <w:tr w:rsidR="00DF35E4" w14:paraId="4DFB3664"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5A42C137" w14:textId="77777777" w:rsidR="00DF35E4" w:rsidRDefault="00000000">
            <w:pPr>
              <w:pStyle w:val="ListParagraph"/>
              <w:numPr>
                <w:ilvl w:val="0"/>
                <w:numId w:val="2"/>
              </w:numPr>
              <w:spacing w:before="40" w:after="40"/>
            </w:pPr>
            <w:r>
              <w:rPr>
                <w:rFonts w:ascii="Arial" w:eastAsia="Arial" w:hAnsi="Arial" w:cs="Arial"/>
                <w:b/>
                <w:bCs/>
                <w:color w:val="333333"/>
              </w:rPr>
              <w:t xml:space="preserve">National climate financing frameworks – </w:t>
            </w:r>
            <w:r>
              <w:rPr>
                <w:rFonts w:ascii="Arial" w:eastAsia="Arial" w:hAnsi="Arial" w:cs="Arial"/>
                <w:color w:val="333333"/>
              </w:rPr>
              <w:t>National climate financing frameworks</w:t>
            </w:r>
          </w:p>
        </w:tc>
      </w:tr>
      <w:tr w:rsidR="00DF35E4" w14:paraId="1484BF77"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39628B3F" w14:textId="77777777" w:rsidR="00DF35E4" w:rsidRDefault="00000000">
            <w:pPr>
              <w:pStyle w:val="ListParagraph"/>
              <w:numPr>
                <w:ilvl w:val="0"/>
                <w:numId w:val="2"/>
              </w:numPr>
              <w:spacing w:before="40" w:after="40"/>
            </w:pPr>
            <w:r>
              <w:rPr>
                <w:rFonts w:ascii="Arial" w:eastAsia="Arial" w:hAnsi="Arial" w:cs="Arial"/>
                <w:b/>
                <w:bCs/>
                <w:color w:val="333333"/>
              </w:rPr>
              <w:t xml:space="preserve">Loss and Damage – </w:t>
            </w:r>
            <w:r>
              <w:rPr>
                <w:rFonts w:ascii="Arial" w:eastAsia="Arial" w:hAnsi="Arial" w:cs="Arial"/>
                <w:color w:val="333333"/>
              </w:rPr>
              <w:t>Loss and Damage</w:t>
            </w:r>
          </w:p>
        </w:tc>
      </w:tr>
      <w:tr w:rsidR="00DF35E4" w14:paraId="1B1C96E5"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43B1E7F6" w14:textId="77777777" w:rsidR="00DF35E4" w:rsidRDefault="00000000">
            <w:pPr>
              <w:pStyle w:val="ListParagraph"/>
              <w:numPr>
                <w:ilvl w:val="0"/>
                <w:numId w:val="2"/>
              </w:numPr>
              <w:spacing w:before="40" w:after="40"/>
            </w:pPr>
            <w:r>
              <w:rPr>
                <w:rFonts w:ascii="Arial" w:eastAsia="Arial" w:hAnsi="Arial" w:cs="Arial"/>
                <w:b/>
                <w:bCs/>
                <w:color w:val="333333"/>
              </w:rPr>
              <w:t xml:space="preserve">Opportunities for NORCAP – </w:t>
            </w:r>
            <w:r>
              <w:rPr>
                <w:rFonts w:ascii="Arial" w:eastAsia="Arial" w:hAnsi="Arial" w:cs="Arial"/>
                <w:color w:val="333333"/>
              </w:rPr>
              <w:t>Opportunities for NORCAP</w:t>
            </w:r>
          </w:p>
        </w:tc>
      </w:tr>
      <w:tr w:rsidR="00DF35E4" w14:paraId="461393FF"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32D59075" w14:textId="77777777" w:rsidR="00DF35E4" w:rsidRDefault="00DF35E4">
            <w:pPr>
              <w:spacing w:after="60"/>
            </w:pPr>
          </w:p>
        </w:tc>
      </w:tr>
      <w:tr w:rsidR="00DF35E4" w14:paraId="38390640" w14:textId="77777777" w:rsidTr="00172562">
        <w:tc>
          <w:tcPr>
            <w:tcW w:w="9638" w:type="dxa"/>
            <w:tcBorders>
              <w:top w:val="none" w:sz="0" w:space="0" w:color="FFFFFF"/>
              <w:left w:val="single" w:sz="4" w:space="0" w:color="CCCCCC"/>
              <w:bottom w:val="single" w:sz="4" w:space="0" w:color="CCCCCC"/>
              <w:right w:val="single" w:sz="4" w:space="0" w:color="CCCCCC"/>
            </w:tcBorders>
            <w:shd w:val="clear" w:color="auto" w:fill="F2F2F2" w:themeFill="background1" w:themeFillShade="F2"/>
            <w:tcMar>
              <w:top w:w="0" w:type="dxa"/>
              <w:left w:w="140" w:type="dxa"/>
              <w:bottom w:w="0" w:type="dxa"/>
              <w:right w:w="140" w:type="dxa"/>
            </w:tcMar>
          </w:tcPr>
          <w:p w14:paraId="78218004" w14:textId="77777777" w:rsidR="00DF35E4" w:rsidRDefault="00000000">
            <w:pPr>
              <w:spacing w:before="40" w:after="80"/>
            </w:pPr>
            <w:r>
              <w:rPr>
                <w:rFonts w:ascii="Arial" w:eastAsia="Arial" w:hAnsi="Arial" w:cs="Arial"/>
                <w:b/>
                <w:bCs/>
                <w:color w:val="333333"/>
              </w:rPr>
              <w:t xml:space="preserve">Geographic scope: </w:t>
            </w:r>
            <w:r>
              <w:rPr>
                <w:rFonts w:ascii="Arial" w:eastAsia="Arial" w:hAnsi="Arial" w:cs="Arial"/>
                <w:color w:val="333333"/>
              </w:rPr>
              <w:t>Full LAC region, with particular depth in Central America (SICA/CEPREDENAC), the Andean sub-region (CAN-CAPRADE), the Caribbean (CDEMA member states), and Haiti.</w:t>
            </w:r>
          </w:p>
        </w:tc>
      </w:tr>
    </w:tbl>
    <w:p w14:paraId="7EB19532" w14:textId="77777777" w:rsidR="00DF35E4" w:rsidRDefault="00DF35E4">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9638"/>
      </w:tblGrid>
      <w:tr w:rsidR="00DF35E4" w14:paraId="3A98D784" w14:textId="77777777" w:rsidTr="00172562">
        <w:tc>
          <w:tcPr>
            <w:tcW w:w="9638" w:type="dxa"/>
            <w:tcBorders>
              <w:top w:val="single" w:sz="4" w:space="0" w:color="CCCCCC"/>
              <w:left w:val="single" w:sz="4" w:space="0" w:color="CCCCCC"/>
              <w:bottom w:val="none" w:sz="0" w:space="0" w:color="FFFFFF"/>
              <w:right w:val="single" w:sz="4" w:space="0" w:color="CCCCCC"/>
            </w:tcBorders>
            <w:shd w:val="clear" w:color="auto" w:fill="F2F2F2" w:themeFill="background1" w:themeFillShade="F2"/>
            <w:tcMar>
              <w:top w:w="80" w:type="dxa"/>
              <w:left w:w="140" w:type="dxa"/>
              <w:bottom w:w="40" w:type="dxa"/>
              <w:right w:w="140" w:type="dxa"/>
            </w:tcMar>
          </w:tcPr>
          <w:p w14:paraId="7DB59818" w14:textId="77777777" w:rsidR="00DF35E4" w:rsidRDefault="00000000">
            <w:r>
              <w:rPr>
                <w:rFonts w:ascii="Arial" w:eastAsia="Arial" w:hAnsi="Arial" w:cs="Arial"/>
                <w:i/>
                <w:iCs/>
                <w:color w:val="666666"/>
                <w:sz w:val="21"/>
                <w:szCs w:val="21"/>
              </w:rPr>
              <w:t>Intended users:</w:t>
            </w:r>
          </w:p>
        </w:tc>
      </w:tr>
      <w:tr w:rsidR="00DF35E4" w14:paraId="0E5A186C" w14:textId="77777777" w:rsidTr="00172562">
        <w:tc>
          <w:tcPr>
            <w:tcW w:w="9638" w:type="dxa"/>
            <w:tcBorders>
              <w:top w:val="none" w:sz="0" w:space="0" w:color="FFFFFF"/>
              <w:left w:val="single" w:sz="4" w:space="0" w:color="CCCCCC"/>
              <w:bottom w:val="none" w:sz="0" w:space="0" w:color="FFFFFF"/>
              <w:right w:val="single" w:sz="4" w:space="0" w:color="CCCCCC"/>
            </w:tcBorders>
            <w:shd w:val="clear" w:color="auto" w:fill="F2F2F2" w:themeFill="background1" w:themeFillShade="F2"/>
            <w:tcMar>
              <w:top w:w="0" w:type="dxa"/>
              <w:left w:w="140" w:type="dxa"/>
              <w:bottom w:w="0" w:type="dxa"/>
              <w:right w:w="140" w:type="dxa"/>
            </w:tcMar>
          </w:tcPr>
          <w:p w14:paraId="1490B41A" w14:textId="77777777" w:rsidR="00DF35E4" w:rsidRDefault="00000000">
            <w:pPr>
              <w:pStyle w:val="ListParagraph"/>
              <w:numPr>
                <w:ilvl w:val="0"/>
                <w:numId w:val="2"/>
              </w:numPr>
              <w:spacing w:before="40" w:after="40"/>
            </w:pPr>
            <w:r>
              <w:rPr>
                <w:rFonts w:ascii="Arial" w:eastAsia="Arial" w:hAnsi="Arial" w:cs="Arial"/>
                <w:color w:val="333333"/>
              </w:rPr>
              <w:t>NORCAP Head Office (Global Policy, Climate Action, ERU Regional, PPFS) and the NORCAP LAC regional team, to inform the Regional Roadmap and donor engagement strategy.</w:t>
            </w:r>
          </w:p>
        </w:tc>
      </w:tr>
      <w:tr w:rsidR="00DF35E4" w14:paraId="713C2C0B" w14:textId="77777777" w:rsidTr="00172562">
        <w:tc>
          <w:tcPr>
            <w:tcW w:w="9638" w:type="dxa"/>
            <w:tcBorders>
              <w:top w:val="none" w:sz="0" w:space="0" w:color="FFFFFF"/>
              <w:left w:val="single" w:sz="4" w:space="0" w:color="CCCCCC"/>
              <w:bottom w:val="single" w:sz="4" w:space="0" w:color="CCCCCC"/>
              <w:right w:val="single" w:sz="4" w:space="0" w:color="CCCCCC"/>
            </w:tcBorders>
            <w:shd w:val="clear" w:color="auto" w:fill="F2F2F2" w:themeFill="background1" w:themeFillShade="F2"/>
            <w:tcMar>
              <w:top w:w="0" w:type="dxa"/>
              <w:left w:w="140" w:type="dxa"/>
              <w:bottom w:w="0" w:type="dxa"/>
              <w:right w:w="140" w:type="dxa"/>
            </w:tcMar>
          </w:tcPr>
          <w:p w14:paraId="3167ABF2" w14:textId="77777777" w:rsidR="00DF35E4" w:rsidRDefault="00000000">
            <w:pPr>
              <w:pStyle w:val="ListParagraph"/>
              <w:numPr>
                <w:ilvl w:val="0"/>
                <w:numId w:val="2"/>
              </w:numPr>
              <w:spacing w:before="40" w:after="40"/>
            </w:pPr>
            <w:r>
              <w:rPr>
                <w:rFonts w:ascii="Arial" w:eastAsia="Arial" w:hAnsi="Arial" w:cs="Arial"/>
                <w:color w:val="333333"/>
              </w:rPr>
              <w:t>Regional IGO and UN partners (CEPREDENAC, SISCA, CAN-CAPRADE, REAP, UNDRR) and bilateral donors, as shared reference for partnership and co-funding conversations.</w:t>
            </w:r>
          </w:p>
        </w:tc>
      </w:tr>
    </w:tbl>
    <w:p w14:paraId="2C7286A0" w14:textId="77777777" w:rsidR="00DF35E4" w:rsidRDefault="00DF35E4">
      <w:pPr>
        <w:spacing w:after="200"/>
      </w:pPr>
    </w:p>
    <w:p w14:paraId="40A37FDE" w14:textId="77777777" w:rsidR="00DF35E4" w:rsidRDefault="00000000">
      <w:pPr>
        <w:spacing w:before="200" w:after="80"/>
      </w:pPr>
      <w:r>
        <w:rPr>
          <w:rFonts w:ascii="Arial" w:eastAsia="Arial" w:hAnsi="Arial" w:cs="Arial"/>
          <w:b/>
          <w:bCs/>
          <w:color w:val="E87722"/>
          <w:sz w:val="30"/>
          <w:szCs w:val="30"/>
        </w:rPr>
        <w:t>Deliverables</w:t>
      </w:r>
    </w:p>
    <w:p w14:paraId="5B6D3606" w14:textId="77777777" w:rsidR="00DF35E4" w:rsidRDefault="00DF35E4">
      <w:pPr>
        <w:pBdr>
          <w:bottom w:val="single" w:sz="6" w:space="0" w:color="E87722"/>
        </w:pBdr>
        <w:spacing w:before="80" w:after="80"/>
      </w:pPr>
    </w:p>
    <w:p w14:paraId="07BE5DDF" w14:textId="77777777" w:rsidR="00DF35E4" w:rsidRDefault="00DF35E4">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505"/>
        <w:gridCol w:w="2425"/>
        <w:gridCol w:w="4788"/>
        <w:gridCol w:w="1920"/>
      </w:tblGrid>
      <w:tr w:rsidR="00DF35E4" w:rsidRPr="00594B33" w14:paraId="713E25D1" w14:textId="77777777" w:rsidTr="00172562">
        <w:tc>
          <w:tcPr>
            <w:tcW w:w="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D23F7C0" w14:textId="77777777" w:rsidR="00DF35E4" w:rsidRPr="00594B33" w:rsidRDefault="00000000">
            <w:pPr>
              <w:rPr>
                <w:color w:val="000000" w:themeColor="text1"/>
              </w:rPr>
            </w:pPr>
            <w:r w:rsidRPr="00594B33">
              <w:rPr>
                <w:rFonts w:ascii="Arial" w:eastAsia="Arial" w:hAnsi="Arial" w:cs="Arial"/>
                <w:b/>
                <w:bCs/>
                <w:color w:val="000000" w:themeColor="text1"/>
                <w:sz w:val="19"/>
                <w:szCs w:val="19"/>
              </w:rPr>
              <w:t>#</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7E43C04" w14:textId="77777777" w:rsidR="00DF35E4" w:rsidRPr="00594B33" w:rsidRDefault="00000000">
            <w:pPr>
              <w:rPr>
                <w:color w:val="000000" w:themeColor="text1"/>
              </w:rPr>
            </w:pPr>
            <w:r w:rsidRPr="00594B33">
              <w:rPr>
                <w:rFonts w:ascii="Arial" w:eastAsia="Arial" w:hAnsi="Arial" w:cs="Arial"/>
                <w:b/>
                <w:bCs/>
                <w:color w:val="000000" w:themeColor="text1"/>
                <w:sz w:val="19"/>
                <w:szCs w:val="19"/>
              </w:rPr>
              <w:t>Deliverable</w:t>
            </w:r>
          </w:p>
        </w:tc>
        <w:tc>
          <w:tcPr>
            <w:tcW w:w="47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69DF594A" w14:textId="77777777" w:rsidR="00DF35E4" w:rsidRPr="00594B33" w:rsidRDefault="00000000">
            <w:pPr>
              <w:rPr>
                <w:color w:val="000000" w:themeColor="text1"/>
              </w:rPr>
            </w:pPr>
            <w:r w:rsidRPr="00594B33">
              <w:rPr>
                <w:rFonts w:ascii="Arial" w:eastAsia="Arial" w:hAnsi="Arial" w:cs="Arial"/>
                <w:b/>
                <w:bCs/>
                <w:color w:val="000000" w:themeColor="text1"/>
                <w:sz w:val="19"/>
                <w:szCs w:val="19"/>
              </w:rPr>
              <w:t>Description</w:t>
            </w:r>
          </w:p>
        </w:tc>
        <w:tc>
          <w:tcPr>
            <w:tcW w:w="1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871650B" w14:textId="77777777" w:rsidR="00DF35E4" w:rsidRPr="00594B33" w:rsidRDefault="00000000">
            <w:pPr>
              <w:rPr>
                <w:color w:val="000000" w:themeColor="text1"/>
              </w:rPr>
            </w:pPr>
            <w:r w:rsidRPr="00594B33">
              <w:rPr>
                <w:rFonts w:ascii="Arial" w:eastAsia="Arial" w:hAnsi="Arial" w:cs="Arial"/>
                <w:b/>
                <w:bCs/>
                <w:color w:val="000000" w:themeColor="text1"/>
                <w:sz w:val="19"/>
                <w:szCs w:val="19"/>
              </w:rPr>
              <w:t>Timing</w:t>
            </w:r>
          </w:p>
        </w:tc>
      </w:tr>
      <w:tr w:rsidR="00DF35E4" w14:paraId="461D81D7" w14:textId="77777777" w:rsidTr="00172562">
        <w:tc>
          <w:tcPr>
            <w:tcW w:w="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83DC66C" w14:textId="77777777" w:rsidR="00DF35E4" w:rsidRDefault="00000000">
            <w:r>
              <w:rPr>
                <w:rFonts w:ascii="Arial" w:eastAsia="Arial" w:hAnsi="Arial" w:cs="Arial"/>
                <w:color w:val="333333"/>
                <w:sz w:val="19"/>
                <w:szCs w:val="19"/>
              </w:rPr>
              <w:t>1</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4F2150B" w14:textId="77777777" w:rsidR="00DF35E4" w:rsidRDefault="00000000">
            <w:r>
              <w:rPr>
                <w:rFonts w:ascii="Arial" w:eastAsia="Arial" w:hAnsi="Arial" w:cs="Arial"/>
                <w:color w:val="333333"/>
                <w:sz w:val="19"/>
                <w:szCs w:val="19"/>
              </w:rPr>
              <w:t>Inception report and work plan</w:t>
            </w:r>
          </w:p>
        </w:tc>
        <w:tc>
          <w:tcPr>
            <w:tcW w:w="47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061E31EC" w14:textId="77777777" w:rsidR="00DF35E4" w:rsidRDefault="00000000">
            <w:r>
              <w:rPr>
                <w:rFonts w:ascii="Arial" w:eastAsia="Arial" w:hAnsi="Arial" w:cs="Arial"/>
                <w:color w:val="333333"/>
                <w:sz w:val="19"/>
                <w:szCs w:val="19"/>
              </w:rPr>
              <w:t>Refined scope, methodology, stakeholder consultation plan, and timeline; agreed with NORCAP</w:t>
            </w:r>
          </w:p>
        </w:tc>
        <w:tc>
          <w:tcPr>
            <w:tcW w:w="1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4F6DE601" w14:textId="77777777" w:rsidR="00DF35E4" w:rsidRDefault="00000000">
            <w:r>
              <w:rPr>
                <w:rFonts w:ascii="Arial" w:eastAsia="Arial" w:hAnsi="Arial" w:cs="Arial"/>
                <w:color w:val="333333"/>
                <w:sz w:val="19"/>
                <w:szCs w:val="19"/>
              </w:rPr>
              <w:t>End of Week 2 (Days 1–3)</w:t>
            </w:r>
          </w:p>
        </w:tc>
      </w:tr>
      <w:tr w:rsidR="00DF35E4" w14:paraId="2C95AB96" w14:textId="77777777" w:rsidTr="00172562">
        <w:tc>
          <w:tcPr>
            <w:tcW w:w="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50AE7E6" w14:textId="77777777" w:rsidR="00DF35E4" w:rsidRDefault="00000000">
            <w:r>
              <w:rPr>
                <w:rFonts w:ascii="Arial" w:eastAsia="Arial" w:hAnsi="Arial" w:cs="Arial"/>
                <w:color w:val="333333"/>
                <w:sz w:val="19"/>
                <w:szCs w:val="19"/>
              </w:rPr>
              <w:t>2</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E6F57BE" w14:textId="77777777" w:rsidR="00DF35E4" w:rsidRDefault="00000000">
            <w:r>
              <w:rPr>
                <w:rFonts w:ascii="Arial" w:eastAsia="Arial" w:hAnsi="Arial" w:cs="Arial"/>
                <w:color w:val="333333"/>
                <w:sz w:val="19"/>
                <w:szCs w:val="19"/>
              </w:rPr>
              <w:t>Interim mapping report: international and IFI climate finance</w:t>
            </w:r>
          </w:p>
        </w:tc>
        <w:tc>
          <w:tcPr>
            <w:tcW w:w="47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085F129" w14:textId="77777777" w:rsidR="00DF35E4" w:rsidRDefault="00000000">
            <w:r>
              <w:rPr>
                <w:rFonts w:ascii="Arial" w:eastAsia="Arial" w:hAnsi="Arial" w:cs="Arial"/>
                <w:color w:val="333333"/>
                <w:sz w:val="19"/>
                <w:szCs w:val="19"/>
              </w:rPr>
              <w:t>Analysis of GCF, Adaptation Fund, Santiago Network, FRLD, bilateral instruments, and IFI windows; access pathways for NORCAP</w:t>
            </w:r>
          </w:p>
        </w:tc>
        <w:tc>
          <w:tcPr>
            <w:tcW w:w="1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D818344" w14:textId="77777777" w:rsidR="00DF35E4" w:rsidRDefault="00000000">
            <w:r>
              <w:rPr>
                <w:rFonts w:ascii="Arial" w:eastAsia="Arial" w:hAnsi="Arial" w:cs="Arial"/>
                <w:color w:val="333333"/>
                <w:sz w:val="19"/>
                <w:szCs w:val="19"/>
              </w:rPr>
              <w:t>Month 2 (Days 4–10)</w:t>
            </w:r>
          </w:p>
        </w:tc>
      </w:tr>
      <w:tr w:rsidR="00DF35E4" w14:paraId="03859C3B" w14:textId="77777777" w:rsidTr="00172562">
        <w:tc>
          <w:tcPr>
            <w:tcW w:w="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04E451D8" w14:textId="77777777" w:rsidR="00DF35E4" w:rsidRDefault="00000000">
            <w:r>
              <w:rPr>
                <w:rFonts w:ascii="Arial" w:eastAsia="Arial" w:hAnsi="Arial" w:cs="Arial"/>
                <w:color w:val="333333"/>
                <w:sz w:val="19"/>
                <w:szCs w:val="19"/>
              </w:rPr>
              <w:t>3</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46246F5C" w14:textId="77777777" w:rsidR="00DF35E4" w:rsidRDefault="00000000">
            <w:r>
              <w:rPr>
                <w:rFonts w:ascii="Arial" w:eastAsia="Arial" w:hAnsi="Arial" w:cs="Arial"/>
                <w:color w:val="333333"/>
                <w:sz w:val="19"/>
                <w:szCs w:val="19"/>
              </w:rPr>
              <w:t>National financing frameworks and Loss and Damage analysis</w:t>
            </w:r>
          </w:p>
        </w:tc>
        <w:tc>
          <w:tcPr>
            <w:tcW w:w="47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ED0F67B" w14:textId="78C2AF38" w:rsidR="00DF35E4" w:rsidRDefault="00000000">
            <w:r>
              <w:rPr>
                <w:rFonts w:ascii="Arial" w:eastAsia="Arial" w:hAnsi="Arial" w:cs="Arial"/>
                <w:color w:val="333333"/>
                <w:sz w:val="19"/>
                <w:szCs w:val="19"/>
              </w:rPr>
              <w:t xml:space="preserve">NDC/NAP investment frameworks per </w:t>
            </w:r>
            <w:r w:rsidR="00594B33">
              <w:rPr>
                <w:rFonts w:ascii="Arial" w:eastAsia="Arial" w:hAnsi="Arial" w:cs="Arial"/>
                <w:color w:val="333333"/>
                <w:sz w:val="19"/>
                <w:szCs w:val="19"/>
              </w:rPr>
              <w:t>agreed contexts</w:t>
            </w:r>
            <w:r>
              <w:rPr>
                <w:rFonts w:ascii="Arial" w:eastAsia="Arial" w:hAnsi="Arial" w:cs="Arial"/>
                <w:color w:val="333333"/>
                <w:sz w:val="19"/>
                <w:szCs w:val="19"/>
              </w:rPr>
              <w:t>; national climate fund landscape; L&amp;D operational status and entry points in LAC</w:t>
            </w:r>
          </w:p>
        </w:tc>
        <w:tc>
          <w:tcPr>
            <w:tcW w:w="1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18CD9A0" w14:textId="77777777" w:rsidR="00DF35E4" w:rsidRDefault="00000000">
            <w:r>
              <w:rPr>
                <w:rFonts w:ascii="Arial" w:eastAsia="Arial" w:hAnsi="Arial" w:cs="Arial"/>
                <w:color w:val="333333"/>
                <w:sz w:val="19"/>
                <w:szCs w:val="19"/>
              </w:rPr>
              <w:t>Month 3 (Days 11–15)</w:t>
            </w:r>
          </w:p>
        </w:tc>
      </w:tr>
      <w:tr w:rsidR="00DF35E4" w14:paraId="432E1765" w14:textId="77777777" w:rsidTr="00172562">
        <w:tc>
          <w:tcPr>
            <w:tcW w:w="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7C73363" w14:textId="77777777" w:rsidR="00DF35E4" w:rsidRDefault="00000000">
            <w:r>
              <w:rPr>
                <w:rFonts w:ascii="Arial" w:eastAsia="Arial" w:hAnsi="Arial" w:cs="Arial"/>
                <w:color w:val="333333"/>
                <w:sz w:val="19"/>
                <w:szCs w:val="19"/>
              </w:rPr>
              <w:t>4</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00B4064" w14:textId="77777777" w:rsidR="00DF35E4" w:rsidRDefault="00000000">
            <w:r>
              <w:rPr>
                <w:rFonts w:ascii="Arial" w:eastAsia="Arial" w:hAnsi="Arial" w:cs="Arial"/>
                <w:color w:val="333333"/>
                <w:sz w:val="19"/>
                <w:szCs w:val="19"/>
              </w:rPr>
              <w:t>Final Deep Dive report</w:t>
            </w:r>
          </w:p>
        </w:tc>
        <w:tc>
          <w:tcPr>
            <w:tcW w:w="47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AB23DF3" w14:textId="77777777" w:rsidR="00DF35E4" w:rsidRDefault="00000000">
            <w:r>
              <w:rPr>
                <w:rFonts w:ascii="Arial" w:eastAsia="Arial" w:hAnsi="Arial" w:cs="Arial"/>
                <w:color w:val="333333"/>
                <w:sz w:val="19"/>
                <w:szCs w:val="19"/>
              </w:rPr>
              <w:t>Integrated report; synthesis of opportunities for NORCAP; prioritised recommendations; formatted for external use</w:t>
            </w:r>
          </w:p>
        </w:tc>
        <w:tc>
          <w:tcPr>
            <w:tcW w:w="1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2FF9CC6" w14:textId="77777777" w:rsidR="00DF35E4" w:rsidRDefault="00000000">
            <w:r>
              <w:rPr>
                <w:rFonts w:ascii="Arial" w:eastAsia="Arial" w:hAnsi="Arial" w:cs="Arial"/>
                <w:color w:val="333333"/>
                <w:sz w:val="19"/>
                <w:szCs w:val="19"/>
              </w:rPr>
              <w:t>Month 4 (Days 16–19)</w:t>
            </w:r>
          </w:p>
        </w:tc>
      </w:tr>
      <w:tr w:rsidR="00DF35E4" w14:paraId="47F6B564" w14:textId="77777777" w:rsidTr="00172562">
        <w:tc>
          <w:tcPr>
            <w:tcW w:w="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A4451C2" w14:textId="77777777" w:rsidR="00DF35E4" w:rsidRDefault="00000000">
            <w:r>
              <w:rPr>
                <w:rFonts w:ascii="Arial" w:eastAsia="Arial" w:hAnsi="Arial" w:cs="Arial"/>
                <w:color w:val="333333"/>
                <w:sz w:val="19"/>
                <w:szCs w:val="19"/>
              </w:rPr>
              <w:t>5</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0A01780A" w14:textId="77777777" w:rsidR="00DF35E4" w:rsidRDefault="00000000">
            <w:r>
              <w:rPr>
                <w:rFonts w:ascii="Arial" w:eastAsia="Arial" w:hAnsi="Arial" w:cs="Arial"/>
                <w:color w:val="333333"/>
                <w:sz w:val="19"/>
                <w:szCs w:val="19"/>
              </w:rPr>
              <w:t>Executive summary (2 pp)</w:t>
            </w:r>
          </w:p>
        </w:tc>
        <w:tc>
          <w:tcPr>
            <w:tcW w:w="47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566D512" w14:textId="77777777" w:rsidR="00DF35E4" w:rsidRDefault="00000000">
            <w:r>
              <w:rPr>
                <w:rFonts w:ascii="Arial" w:eastAsia="Arial" w:hAnsi="Arial" w:cs="Arial"/>
                <w:color w:val="333333"/>
                <w:sz w:val="19"/>
                <w:szCs w:val="19"/>
              </w:rPr>
              <w:t>Concise summary of key findings and recommendations for donor and partner engagement</w:t>
            </w:r>
          </w:p>
        </w:tc>
        <w:tc>
          <w:tcPr>
            <w:tcW w:w="1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050911A6" w14:textId="77777777" w:rsidR="00DF35E4" w:rsidRDefault="00000000">
            <w:r>
              <w:rPr>
                <w:rFonts w:ascii="Arial" w:eastAsia="Arial" w:hAnsi="Arial" w:cs="Arial"/>
                <w:color w:val="333333"/>
                <w:sz w:val="19"/>
                <w:szCs w:val="19"/>
              </w:rPr>
              <w:t>Month 4 (Day 20)</w:t>
            </w:r>
          </w:p>
        </w:tc>
      </w:tr>
    </w:tbl>
    <w:p w14:paraId="5E999DFC" w14:textId="77777777" w:rsidR="00DF35E4" w:rsidRDefault="00DF35E4">
      <w:pPr>
        <w:spacing w:after="80"/>
      </w:pPr>
    </w:p>
    <w:p w14:paraId="464EB286" w14:textId="77777777" w:rsidR="00DF35E4" w:rsidRDefault="00000000">
      <w:pPr>
        <w:spacing w:before="40" w:after="80"/>
      </w:pPr>
      <w:r>
        <w:rPr>
          <w:rFonts w:ascii="Arial" w:eastAsia="Arial" w:hAnsi="Arial" w:cs="Arial"/>
          <w:color w:val="333333"/>
        </w:rPr>
        <w:t>All deliverables will be submitted in English. NORCAP will provide one round of consolidated feedback per deliverable.</w:t>
      </w:r>
    </w:p>
    <w:p w14:paraId="78BD2CF9" w14:textId="77777777" w:rsidR="00E6513E" w:rsidRDefault="00E6513E" w:rsidP="00E6513E">
      <w:pPr>
        <w:spacing w:before="200" w:after="80"/>
      </w:pPr>
      <w:r>
        <w:rPr>
          <w:rFonts w:ascii="Arial" w:eastAsia="Arial" w:hAnsi="Arial" w:cs="Arial"/>
          <w:b/>
          <w:bCs/>
          <w:color w:val="E87722"/>
          <w:sz w:val="30"/>
          <w:szCs w:val="30"/>
        </w:rPr>
        <w:t>Institutional and Organisational Arrangements</w:t>
      </w:r>
    </w:p>
    <w:p w14:paraId="0C734804" w14:textId="77777777" w:rsidR="00E6513E" w:rsidRDefault="00E6513E" w:rsidP="00E6513E">
      <w:pPr>
        <w:pBdr>
          <w:bottom w:val="single" w:sz="6" w:space="0" w:color="E87722"/>
        </w:pBdr>
        <w:spacing w:before="80" w:after="80"/>
      </w:pPr>
    </w:p>
    <w:p w14:paraId="3D9E8929" w14:textId="77777777" w:rsidR="00E6513E" w:rsidRDefault="00E6513E" w:rsidP="00E6513E">
      <w:pPr>
        <w:spacing w:after="80"/>
      </w:pPr>
    </w:p>
    <w:p w14:paraId="0600BD38" w14:textId="77777777" w:rsidR="00E6513E" w:rsidRDefault="00E6513E" w:rsidP="00E6513E">
      <w:pPr>
        <w:spacing w:before="120" w:after="60"/>
      </w:pPr>
      <w:r>
        <w:rPr>
          <w:rFonts w:ascii="Arial" w:eastAsia="Arial" w:hAnsi="Arial" w:cs="Arial"/>
          <w:b/>
          <w:bCs/>
          <w:color w:val="333333"/>
        </w:rPr>
        <w:t>Intellectual Property</w:t>
      </w:r>
    </w:p>
    <w:p w14:paraId="6567C038" w14:textId="77777777" w:rsidR="00E6513E" w:rsidRDefault="00E6513E" w:rsidP="00E6513E">
      <w:pPr>
        <w:spacing w:before="40" w:after="80"/>
      </w:pPr>
      <w:r>
        <w:rPr>
          <w:rFonts w:ascii="Arial" w:eastAsia="Arial" w:hAnsi="Arial" w:cs="Arial"/>
          <w:color w:val="333333"/>
        </w:rPr>
        <w:t>NRC will own the intellectual property rights to all materials submitted by the consultant under the contract. The consultant must ensure they have possession of all materials provided to NRC as part of the deliverable. The rights to reproduce the reports will fall to NRC and its contracted agents. NRC will be free to reproduce the materials at will and to grant reproduction rights.</w:t>
      </w:r>
    </w:p>
    <w:p w14:paraId="58460AFF" w14:textId="77777777" w:rsidR="00E6513E" w:rsidRDefault="00E6513E" w:rsidP="00E6513E">
      <w:pPr>
        <w:spacing w:after="60"/>
      </w:pPr>
    </w:p>
    <w:p w14:paraId="1220ACA2" w14:textId="77777777" w:rsidR="00E6513E" w:rsidRDefault="00E6513E" w:rsidP="00E6513E">
      <w:pPr>
        <w:spacing w:before="40" w:after="80"/>
      </w:pPr>
      <w:r>
        <w:rPr>
          <w:rFonts w:ascii="Arial" w:eastAsia="Arial" w:hAnsi="Arial" w:cs="Arial"/>
          <w:color w:val="333333"/>
        </w:rPr>
        <w:t>Everything submitted to NRC must be the original work of the consultant. Any plagiarism in any form, or any other breach of intellectual property rights, will automatically disqualify the consultant from receiving any further payments under the contract, and NRC will seek to recover any payments already made.</w:t>
      </w:r>
    </w:p>
    <w:p w14:paraId="0A8B8E15" w14:textId="77777777" w:rsidR="00E6513E" w:rsidRDefault="00E6513E" w:rsidP="00E6513E">
      <w:pPr>
        <w:spacing w:after="120"/>
      </w:pPr>
    </w:p>
    <w:p w14:paraId="26D67D31" w14:textId="77777777" w:rsidR="00E6513E" w:rsidRDefault="00E6513E" w:rsidP="00E6513E">
      <w:pPr>
        <w:spacing w:before="120" w:after="60"/>
      </w:pPr>
      <w:r>
        <w:rPr>
          <w:rFonts w:ascii="Arial" w:eastAsia="Arial" w:hAnsi="Arial" w:cs="Arial"/>
          <w:b/>
          <w:bCs/>
          <w:color w:val="333333"/>
        </w:rPr>
        <w:t>Duties of the Consultant</w:t>
      </w:r>
    </w:p>
    <w:p w14:paraId="0D8D982C" w14:textId="77777777" w:rsidR="00E6513E" w:rsidRDefault="00E6513E" w:rsidP="00E6513E">
      <w:pPr>
        <w:spacing w:before="40" w:after="80"/>
      </w:pPr>
      <w:r>
        <w:rPr>
          <w:rFonts w:ascii="Arial" w:eastAsia="Arial" w:hAnsi="Arial" w:cs="Arial"/>
          <w:color w:val="333333"/>
        </w:rPr>
        <w:t>The consultant is responsible for the quality and originality of all outputs. Specific submission requirements are as follows:</w:t>
      </w:r>
    </w:p>
    <w:p w14:paraId="0C137B85" w14:textId="77777777" w:rsidR="00E6513E" w:rsidRDefault="00E6513E" w:rsidP="00E6513E">
      <w:pPr>
        <w:spacing w:after="40"/>
      </w:pPr>
    </w:p>
    <w:p w14:paraId="6276653F" w14:textId="77777777" w:rsidR="00E6513E" w:rsidRDefault="00E6513E" w:rsidP="00E6513E">
      <w:pPr>
        <w:pStyle w:val="ListParagraph"/>
        <w:numPr>
          <w:ilvl w:val="0"/>
          <w:numId w:val="3"/>
        </w:numPr>
        <w:spacing w:before="40" w:after="40"/>
      </w:pPr>
      <w:r>
        <w:rPr>
          <w:rFonts w:ascii="Arial" w:eastAsia="Arial" w:hAnsi="Arial" w:cs="Arial"/>
          <w:color w:val="333333"/>
        </w:rPr>
        <w:t>All reports shall be submitted in Microsoft Word format, in UK English. Text should be unformatted. Any graphs or graphical elements should be editable (not embedded as images).</w:t>
      </w:r>
    </w:p>
    <w:p w14:paraId="73170A1C" w14:textId="77777777" w:rsidR="00E6513E" w:rsidRDefault="00E6513E" w:rsidP="00E6513E">
      <w:pPr>
        <w:pStyle w:val="ListParagraph"/>
        <w:numPr>
          <w:ilvl w:val="0"/>
          <w:numId w:val="3"/>
        </w:numPr>
        <w:spacing w:before="40" w:after="40"/>
      </w:pPr>
      <w:r>
        <w:rPr>
          <w:rFonts w:ascii="Arial" w:eastAsia="Arial" w:hAnsi="Arial" w:cs="Arial"/>
          <w:color w:val="333333"/>
        </w:rPr>
        <w:t>All references must be cited in the text and detailed in a bibliography using the Harvard referencing system.</w:t>
      </w:r>
    </w:p>
    <w:p w14:paraId="55EBC769" w14:textId="77777777" w:rsidR="00E6513E" w:rsidRDefault="00E6513E" w:rsidP="00E6513E">
      <w:pPr>
        <w:pStyle w:val="ListParagraph"/>
        <w:numPr>
          <w:ilvl w:val="0"/>
          <w:numId w:val="3"/>
        </w:numPr>
        <w:spacing w:before="40" w:after="40"/>
      </w:pPr>
      <w:r>
        <w:rPr>
          <w:rFonts w:ascii="Arial" w:eastAsia="Arial" w:hAnsi="Arial" w:cs="Arial"/>
          <w:color w:val="333333"/>
        </w:rPr>
        <w:t>All verbatim quotations must appear in quotation marks and must not be of excessive length.</w:t>
      </w:r>
    </w:p>
    <w:p w14:paraId="514DEF12" w14:textId="77777777" w:rsidR="00E6513E" w:rsidRDefault="00E6513E" w:rsidP="00E6513E">
      <w:pPr>
        <w:pStyle w:val="ListParagraph"/>
        <w:numPr>
          <w:ilvl w:val="0"/>
          <w:numId w:val="3"/>
        </w:numPr>
        <w:spacing w:before="40" w:after="40"/>
      </w:pPr>
      <w:r>
        <w:rPr>
          <w:rFonts w:ascii="Arial" w:eastAsia="Arial" w:hAnsi="Arial" w:cs="Arial"/>
          <w:color w:val="333333"/>
        </w:rPr>
        <w:t>All supporting data, literature databases, or other materials compiled under the consultancy must be submitted alongside the relevant deliverable in a widely recognised format (e.g. Microsoft Excel or PDF).</w:t>
      </w:r>
    </w:p>
    <w:p w14:paraId="35D95CE8" w14:textId="77777777" w:rsidR="00E6513E" w:rsidRDefault="00E6513E" w:rsidP="00E6513E">
      <w:pPr>
        <w:pStyle w:val="ListParagraph"/>
        <w:numPr>
          <w:ilvl w:val="0"/>
          <w:numId w:val="3"/>
        </w:numPr>
        <w:spacing w:before="40" w:after="40"/>
      </w:pPr>
      <w:r>
        <w:rPr>
          <w:rFonts w:ascii="Arial" w:eastAsia="Arial" w:hAnsi="Arial" w:cs="Arial"/>
          <w:color w:val="333333"/>
        </w:rPr>
        <w:t>The consultant will ensure that any research interactions are conducted with informed consent and in line with NRC policy on consent for photographs, audio, and video recordings.</w:t>
      </w:r>
    </w:p>
    <w:p w14:paraId="6ECE022D" w14:textId="77777777" w:rsidR="00E6513E" w:rsidRDefault="00E6513E" w:rsidP="00E6513E">
      <w:pPr>
        <w:spacing w:after="120"/>
      </w:pPr>
    </w:p>
    <w:p w14:paraId="703666A4" w14:textId="7E4AD9D5" w:rsidR="00E6513E" w:rsidRDefault="00E6513E" w:rsidP="00E6513E">
      <w:pPr>
        <w:spacing w:before="120" w:after="60"/>
      </w:pPr>
      <w:r>
        <w:rPr>
          <w:rFonts w:ascii="Arial" w:eastAsia="Arial" w:hAnsi="Arial" w:cs="Arial"/>
          <w:b/>
          <w:bCs/>
          <w:color w:val="333333"/>
        </w:rPr>
        <w:t>Duties of NORCAP/part of NRC</w:t>
      </w:r>
    </w:p>
    <w:p w14:paraId="720C89CD" w14:textId="77777777" w:rsidR="00E6513E" w:rsidRDefault="00E6513E" w:rsidP="00E6513E">
      <w:pPr>
        <w:spacing w:before="40" w:after="80"/>
      </w:pPr>
      <w:r>
        <w:rPr>
          <w:rFonts w:ascii="Arial" w:eastAsia="Arial" w:hAnsi="Arial" w:cs="Arial"/>
          <w:color w:val="333333"/>
        </w:rPr>
        <w:t>NORCAP will fulfil the following responsibilities to support the consultancy:</w:t>
      </w:r>
    </w:p>
    <w:p w14:paraId="660F70C9" w14:textId="77777777" w:rsidR="00E6513E" w:rsidRDefault="00E6513E" w:rsidP="00E6513E">
      <w:pPr>
        <w:spacing w:after="40"/>
      </w:pPr>
    </w:p>
    <w:p w14:paraId="7966BDD6" w14:textId="77F69E5F" w:rsidR="00E6513E" w:rsidRDefault="00E6513E" w:rsidP="00E6513E">
      <w:pPr>
        <w:pStyle w:val="ListParagraph"/>
        <w:numPr>
          <w:ilvl w:val="0"/>
          <w:numId w:val="3"/>
        </w:numPr>
        <w:spacing w:before="40" w:after="40"/>
      </w:pPr>
      <w:r>
        <w:rPr>
          <w:rFonts w:ascii="Arial" w:eastAsia="Arial" w:hAnsi="Arial" w:cs="Arial"/>
          <w:color w:val="333333"/>
        </w:rPr>
        <w:t>Provide the consultant with access to relevant internal documents.</w:t>
      </w:r>
    </w:p>
    <w:p w14:paraId="758DAD61" w14:textId="4B26A064" w:rsidR="00E6513E" w:rsidRDefault="00E6513E" w:rsidP="00E6513E">
      <w:pPr>
        <w:pStyle w:val="ListParagraph"/>
        <w:numPr>
          <w:ilvl w:val="0"/>
          <w:numId w:val="3"/>
        </w:numPr>
        <w:spacing w:before="40" w:after="40"/>
      </w:pPr>
      <w:r>
        <w:rPr>
          <w:rFonts w:ascii="Arial" w:eastAsia="Arial" w:hAnsi="Arial" w:cs="Arial"/>
          <w:color w:val="333333"/>
        </w:rPr>
        <w:t>Facilitate introductions to key regional partners where requested and appropriate.</w:t>
      </w:r>
    </w:p>
    <w:p w14:paraId="57415F25" w14:textId="19BC5E24" w:rsidR="00E6513E" w:rsidRDefault="00E6513E" w:rsidP="00E6513E">
      <w:pPr>
        <w:pStyle w:val="ListParagraph"/>
        <w:numPr>
          <w:ilvl w:val="0"/>
          <w:numId w:val="3"/>
        </w:numPr>
        <w:spacing w:before="40" w:after="40"/>
      </w:pPr>
      <w:r>
        <w:rPr>
          <w:rFonts w:ascii="Arial" w:eastAsia="Arial" w:hAnsi="Arial" w:cs="Arial"/>
          <w:color w:val="333333"/>
        </w:rPr>
        <w:t xml:space="preserve">Provide consolidated written feedback within </w:t>
      </w:r>
      <w:r w:rsidR="00605970">
        <w:rPr>
          <w:rFonts w:ascii="Arial" w:eastAsia="Arial" w:hAnsi="Arial" w:cs="Arial"/>
          <w:color w:val="333333"/>
        </w:rPr>
        <w:t xml:space="preserve">a maximum of </w:t>
      </w:r>
      <w:r>
        <w:rPr>
          <w:rFonts w:ascii="Arial" w:eastAsia="Arial" w:hAnsi="Arial" w:cs="Arial"/>
          <w:color w:val="333333"/>
        </w:rPr>
        <w:t>10 working days of receipt of each deliverable.</w:t>
      </w:r>
    </w:p>
    <w:p w14:paraId="01EBE07E" w14:textId="785D467A" w:rsidR="00E6513E" w:rsidRDefault="00E6513E" w:rsidP="00E6513E">
      <w:pPr>
        <w:pStyle w:val="ListParagraph"/>
        <w:numPr>
          <w:ilvl w:val="0"/>
          <w:numId w:val="3"/>
        </w:numPr>
        <w:spacing w:before="40" w:after="40"/>
      </w:pPr>
      <w:r>
        <w:rPr>
          <w:rFonts w:ascii="Arial" w:eastAsia="Arial" w:hAnsi="Arial" w:cs="Arial"/>
          <w:color w:val="333333"/>
        </w:rPr>
        <w:t>The day-to-day management of the consultancy will be the responsibility of Anna Kondakhchyan, Global Policy Lead, NORCAP (anna.kondakhchyan@nrc.no), with technical oversight from Solomon Mamo Kenea, Thematic Manager, Climate Action, and Jose Jodar Vidal, Thematic Manager – Cash and Markets</w:t>
      </w:r>
    </w:p>
    <w:p w14:paraId="510FF147" w14:textId="77777777" w:rsidR="00E6513E" w:rsidRDefault="00E6513E" w:rsidP="00E6513E">
      <w:pPr>
        <w:pStyle w:val="ListParagraph"/>
        <w:numPr>
          <w:ilvl w:val="0"/>
          <w:numId w:val="3"/>
        </w:numPr>
        <w:spacing w:before="40" w:after="40"/>
      </w:pPr>
      <w:r>
        <w:rPr>
          <w:rFonts w:ascii="Arial" w:eastAsia="Arial" w:hAnsi="Arial" w:cs="Arial"/>
          <w:color w:val="333333"/>
        </w:rPr>
        <w:t>All costs for the consultant time and materials are to be borne by the consultant and invoiced as per Annex 3. Travel costs will not be covered unless explicitly pre-approved in writing by NORCAP.</w:t>
      </w:r>
    </w:p>
    <w:p w14:paraId="6BA810C7" w14:textId="77777777" w:rsidR="00E6513E" w:rsidRDefault="00E6513E" w:rsidP="00E6513E">
      <w:pPr>
        <w:spacing w:after="200"/>
      </w:pPr>
    </w:p>
    <w:p w14:paraId="5423A0AF" w14:textId="77777777" w:rsidR="00DF35E4" w:rsidRDefault="00DF35E4">
      <w:pPr>
        <w:spacing w:after="200"/>
      </w:pPr>
    </w:p>
    <w:p w14:paraId="75D849E4" w14:textId="77777777" w:rsidR="00DF35E4" w:rsidRDefault="00000000">
      <w:pPr>
        <w:spacing w:before="200" w:after="80"/>
      </w:pPr>
      <w:r>
        <w:rPr>
          <w:rFonts w:ascii="Arial" w:eastAsia="Arial" w:hAnsi="Arial" w:cs="Arial"/>
          <w:b/>
          <w:bCs/>
          <w:color w:val="E87722"/>
          <w:sz w:val="30"/>
          <w:szCs w:val="30"/>
        </w:rPr>
        <w:t>Required Qualifications and Experience:</w:t>
      </w:r>
    </w:p>
    <w:p w14:paraId="05979463" w14:textId="77777777" w:rsidR="00DF35E4" w:rsidRDefault="00DF35E4">
      <w:pPr>
        <w:pBdr>
          <w:bottom w:val="single" w:sz="6" w:space="0" w:color="E87722"/>
        </w:pBdr>
        <w:spacing w:before="80" w:after="80"/>
      </w:pPr>
    </w:p>
    <w:p w14:paraId="23244474" w14:textId="77777777" w:rsidR="00DF35E4" w:rsidRDefault="00DF35E4">
      <w:pPr>
        <w:spacing w:after="80"/>
      </w:pPr>
    </w:p>
    <w:p w14:paraId="4162C93E" w14:textId="77777777" w:rsidR="00DF35E4" w:rsidRDefault="00000000">
      <w:pPr>
        <w:spacing w:before="120" w:after="60"/>
      </w:pPr>
      <w:r>
        <w:rPr>
          <w:rFonts w:ascii="Arial" w:eastAsia="Arial" w:hAnsi="Arial" w:cs="Arial"/>
          <w:b/>
          <w:bCs/>
          <w:color w:val="333333"/>
        </w:rPr>
        <w:t>Education</w:t>
      </w:r>
    </w:p>
    <w:p w14:paraId="05CF24B9" w14:textId="77777777" w:rsidR="00DF35E4" w:rsidRDefault="00000000">
      <w:pPr>
        <w:spacing w:before="40" w:after="80"/>
      </w:pPr>
      <w:r>
        <w:rPr>
          <w:rFonts w:ascii="Arial" w:eastAsia="Arial" w:hAnsi="Arial" w:cs="Arial"/>
          <w:color w:val="333333"/>
        </w:rPr>
        <w:t>Master’s degree in climate policy, environmental finance, international development, economics, or a related field. An equivalent combination of relevant experience and undergraduate education may be accepted.</w:t>
      </w:r>
    </w:p>
    <w:p w14:paraId="76C06E79" w14:textId="77777777" w:rsidR="00DF35E4" w:rsidRDefault="00DF35E4">
      <w:pPr>
        <w:spacing w:after="80"/>
      </w:pPr>
    </w:p>
    <w:p w14:paraId="4F5B0AAC" w14:textId="77777777" w:rsidR="00DF35E4" w:rsidRDefault="00000000">
      <w:pPr>
        <w:spacing w:before="120" w:after="60"/>
      </w:pPr>
      <w:r>
        <w:rPr>
          <w:rFonts w:ascii="Arial" w:eastAsia="Arial" w:hAnsi="Arial" w:cs="Arial"/>
          <w:b/>
          <w:bCs/>
          <w:color w:val="333333"/>
        </w:rPr>
        <w:t>Experience</w:t>
      </w:r>
    </w:p>
    <w:p w14:paraId="72B545EB" w14:textId="77777777" w:rsidR="00DF35E4" w:rsidRDefault="00000000">
      <w:pPr>
        <w:spacing w:before="40" w:after="80"/>
      </w:pPr>
      <w:r>
        <w:rPr>
          <w:rFonts w:ascii="Arial" w:eastAsia="Arial" w:hAnsi="Arial" w:cs="Arial"/>
          <w:b/>
          <w:bCs/>
          <w:color w:val="333333"/>
        </w:rPr>
        <w:t>Essential:</w:t>
      </w:r>
    </w:p>
    <w:p w14:paraId="2F48359E" w14:textId="77777777" w:rsidR="00DF35E4" w:rsidRDefault="00000000">
      <w:pPr>
        <w:pStyle w:val="ListParagraph"/>
        <w:numPr>
          <w:ilvl w:val="0"/>
          <w:numId w:val="2"/>
        </w:numPr>
        <w:spacing w:before="40" w:after="40"/>
      </w:pPr>
      <w:r>
        <w:rPr>
          <w:rFonts w:ascii="Arial" w:eastAsia="Arial" w:hAnsi="Arial" w:cs="Arial"/>
          <w:color w:val="333333"/>
        </w:rPr>
        <w:t>Minimum 7 years of relevant experience in climate finance, climate policy, international development, or a related field;</w:t>
      </w:r>
    </w:p>
    <w:p w14:paraId="003DC1F3" w14:textId="77777777" w:rsidR="00DF35E4" w:rsidRDefault="00000000">
      <w:pPr>
        <w:pStyle w:val="ListParagraph"/>
        <w:numPr>
          <w:ilvl w:val="0"/>
          <w:numId w:val="2"/>
        </w:numPr>
        <w:spacing w:before="40" w:after="40"/>
      </w:pPr>
      <w:r>
        <w:rPr>
          <w:rFonts w:ascii="Arial" w:eastAsia="Arial" w:hAnsi="Arial" w:cs="Arial"/>
          <w:color w:val="333333"/>
        </w:rPr>
        <w:t>Proven understanding of the international climate policy and financing landscape, including the UNFCCC process, major climate funds (GCF, Adaptation Fund, FRLD), and the governance of climate finance flows;</w:t>
      </w:r>
    </w:p>
    <w:p w14:paraId="5C4628B2" w14:textId="77777777" w:rsidR="00DF35E4" w:rsidRDefault="00000000">
      <w:pPr>
        <w:pStyle w:val="ListParagraph"/>
        <w:numPr>
          <w:ilvl w:val="0"/>
          <w:numId w:val="2"/>
        </w:numPr>
        <w:spacing w:before="40" w:after="40"/>
      </w:pPr>
      <w:r>
        <w:rPr>
          <w:rFonts w:ascii="Arial" w:eastAsia="Arial" w:hAnsi="Arial" w:cs="Arial"/>
          <w:color w:val="333333"/>
        </w:rPr>
        <w:t>Demonstrated experience analysing or working with climate financing mechanisms relevant to social protection, disaster risk management, or anticipatory action;</w:t>
      </w:r>
    </w:p>
    <w:p w14:paraId="0A940EF5" w14:textId="77777777" w:rsidR="00DF35E4" w:rsidRDefault="00000000">
      <w:pPr>
        <w:pStyle w:val="ListParagraph"/>
        <w:numPr>
          <w:ilvl w:val="0"/>
          <w:numId w:val="2"/>
        </w:numPr>
        <w:spacing w:before="40" w:after="40"/>
      </w:pPr>
      <w:r>
        <w:rPr>
          <w:rFonts w:ascii="Arial" w:eastAsia="Arial" w:hAnsi="Arial" w:cs="Arial"/>
          <w:color w:val="333333"/>
        </w:rPr>
        <w:t>Strong analytical and research skills with ability to synthesise complex, multi-source information into clear, actionable outputs; and</w:t>
      </w:r>
    </w:p>
    <w:p w14:paraId="6D0E8A25" w14:textId="77777777" w:rsidR="00DF35E4" w:rsidRPr="00172562" w:rsidRDefault="00000000">
      <w:pPr>
        <w:pStyle w:val="ListParagraph"/>
        <w:numPr>
          <w:ilvl w:val="0"/>
          <w:numId w:val="2"/>
        </w:numPr>
        <w:spacing w:before="40" w:after="40"/>
      </w:pPr>
      <w:r>
        <w:rPr>
          <w:rFonts w:ascii="Arial" w:eastAsia="Arial" w:hAnsi="Arial" w:cs="Arial"/>
          <w:color w:val="333333"/>
        </w:rPr>
        <w:t>Excellent written communication skills in English, with proven capacity to produce high-quality reports for institutional audiences.</w:t>
      </w:r>
    </w:p>
    <w:p w14:paraId="5AF027C1" w14:textId="77777777" w:rsidR="00172562" w:rsidRDefault="00172562" w:rsidP="00172562">
      <w:pPr>
        <w:pStyle w:val="ListParagraph"/>
        <w:numPr>
          <w:ilvl w:val="0"/>
          <w:numId w:val="2"/>
        </w:numPr>
        <w:spacing w:before="40" w:after="40"/>
      </w:pPr>
      <w:r>
        <w:rPr>
          <w:rFonts w:ascii="Arial" w:eastAsia="Arial" w:hAnsi="Arial" w:cs="Arial"/>
          <w:color w:val="333333"/>
        </w:rPr>
        <w:t>Proven ability to manage an independent consultancy with minimal supervision;</w:t>
      </w:r>
    </w:p>
    <w:p w14:paraId="61D68FAC" w14:textId="3FB67F08" w:rsidR="00DF35E4" w:rsidRDefault="00172562" w:rsidP="00172562">
      <w:pPr>
        <w:pStyle w:val="ListParagraph"/>
        <w:numPr>
          <w:ilvl w:val="0"/>
          <w:numId w:val="2"/>
        </w:numPr>
        <w:spacing w:before="40" w:after="40"/>
      </w:pPr>
      <w:r>
        <w:rPr>
          <w:rFonts w:ascii="Arial" w:eastAsia="Arial" w:hAnsi="Arial" w:cs="Arial"/>
          <w:color w:val="333333"/>
        </w:rPr>
        <w:lastRenderedPageBreak/>
        <w:t>Strong interpersonal and stakeholder engagement skills, including experience consulting with institutional actors across government, UN, and civil society;</w:t>
      </w:r>
    </w:p>
    <w:p w14:paraId="7F52986A" w14:textId="77777777" w:rsidR="00DF35E4" w:rsidRDefault="00000000">
      <w:pPr>
        <w:spacing w:before="40" w:after="80"/>
      </w:pPr>
      <w:r>
        <w:rPr>
          <w:rFonts w:ascii="Arial" w:eastAsia="Arial" w:hAnsi="Arial" w:cs="Arial"/>
          <w:b/>
          <w:bCs/>
          <w:color w:val="333333"/>
        </w:rPr>
        <w:t>Highly desirable:</w:t>
      </w:r>
    </w:p>
    <w:p w14:paraId="190FA0C2" w14:textId="77777777" w:rsidR="00DF35E4" w:rsidRDefault="00000000">
      <w:pPr>
        <w:pStyle w:val="ListParagraph"/>
        <w:numPr>
          <w:ilvl w:val="0"/>
          <w:numId w:val="2"/>
        </w:numPr>
        <w:spacing w:before="40" w:after="40"/>
      </w:pPr>
      <w:r>
        <w:rPr>
          <w:rFonts w:ascii="Arial" w:eastAsia="Arial" w:hAnsi="Arial" w:cs="Arial"/>
          <w:color w:val="333333"/>
        </w:rPr>
        <w:t>Proven engagement with global and/or regional Climate Centres, Knowledge Hubs, or Networks (such as the Santiago Network, REAP, Regional Climate Centres, or equivalent); and</w:t>
      </w:r>
    </w:p>
    <w:p w14:paraId="079701C1" w14:textId="77777777" w:rsidR="00DF35E4" w:rsidRPr="00172562" w:rsidRDefault="00000000">
      <w:pPr>
        <w:pStyle w:val="ListParagraph"/>
        <w:numPr>
          <w:ilvl w:val="0"/>
          <w:numId w:val="2"/>
        </w:numPr>
        <w:spacing w:before="40" w:after="40"/>
      </w:pPr>
      <w:r>
        <w:rPr>
          <w:rFonts w:ascii="Arial" w:eastAsia="Arial" w:hAnsi="Arial" w:cs="Arial"/>
          <w:color w:val="333333"/>
        </w:rPr>
        <w:t>Familiarity with Loss and Damage financing, including the Fund for Responding to Loss and Damage (FRLD) and its governance and programming parameters.</w:t>
      </w:r>
    </w:p>
    <w:p w14:paraId="45F52558" w14:textId="77777777" w:rsidR="00172562" w:rsidRPr="00172562" w:rsidRDefault="00172562" w:rsidP="00172562">
      <w:pPr>
        <w:pStyle w:val="ListParagraph"/>
        <w:numPr>
          <w:ilvl w:val="0"/>
          <w:numId w:val="2"/>
        </w:numPr>
        <w:spacing w:before="40" w:after="40"/>
      </w:pPr>
      <w:r>
        <w:rPr>
          <w:rFonts w:ascii="Arial" w:eastAsia="Arial" w:hAnsi="Arial" w:cs="Arial"/>
          <w:color w:val="333333"/>
        </w:rPr>
        <w:t>Proven experience with the climate finance architecture in Latin America and the Caribbean, including knowledge of how major mechanisms flow to the region and engagement with regional IGOs or national governments on climate finance access;</w:t>
      </w:r>
    </w:p>
    <w:p w14:paraId="472B0355" w14:textId="107BFDC7" w:rsidR="00DF35E4" w:rsidRDefault="00172562" w:rsidP="00172562">
      <w:pPr>
        <w:pStyle w:val="ListParagraph"/>
        <w:numPr>
          <w:ilvl w:val="0"/>
          <w:numId w:val="2"/>
        </w:numPr>
        <w:spacing w:before="40" w:after="40"/>
      </w:pPr>
      <w:r>
        <w:rPr>
          <w:rFonts w:ascii="Arial" w:eastAsia="Arial" w:hAnsi="Arial" w:cs="Arial"/>
          <w:color w:val="333333"/>
        </w:rPr>
        <w:t>Capacity to produce professionally designed written outputs</w:t>
      </w:r>
    </w:p>
    <w:p w14:paraId="582BB2E3" w14:textId="569635F6" w:rsidR="00DF35E4" w:rsidRDefault="00172562">
      <w:pPr>
        <w:spacing w:before="40" w:after="80"/>
      </w:pPr>
      <w:r>
        <w:rPr>
          <w:rFonts w:ascii="Arial" w:eastAsia="Arial" w:hAnsi="Arial" w:cs="Arial"/>
          <w:b/>
          <w:bCs/>
          <w:color w:val="333333"/>
        </w:rPr>
        <w:t>Desirable:</w:t>
      </w:r>
    </w:p>
    <w:p w14:paraId="1F7A9498" w14:textId="77777777" w:rsidR="00DF35E4" w:rsidRDefault="00000000">
      <w:pPr>
        <w:pStyle w:val="ListParagraph"/>
        <w:numPr>
          <w:ilvl w:val="0"/>
          <w:numId w:val="2"/>
        </w:numPr>
        <w:spacing w:before="40" w:after="40"/>
      </w:pPr>
      <w:r>
        <w:rPr>
          <w:rFonts w:ascii="Arial" w:eastAsia="Arial" w:hAnsi="Arial" w:cs="Arial"/>
          <w:color w:val="333333"/>
        </w:rPr>
        <w:t>Knowledge of NORCAP’s thematic portfolio areas: anticipatory action, adaptive social protection, cash and voucher assistance, and climate-induced displacement;</w:t>
      </w:r>
    </w:p>
    <w:p w14:paraId="3CA354CD" w14:textId="18129698" w:rsidR="00DF35E4" w:rsidRPr="00172562" w:rsidRDefault="00000000">
      <w:pPr>
        <w:pStyle w:val="ListParagraph"/>
        <w:numPr>
          <w:ilvl w:val="0"/>
          <w:numId w:val="2"/>
        </w:numPr>
        <w:spacing w:before="40" w:after="40"/>
      </w:pPr>
      <w:r>
        <w:rPr>
          <w:rFonts w:ascii="Arial" w:eastAsia="Arial" w:hAnsi="Arial" w:cs="Arial"/>
          <w:color w:val="333333"/>
        </w:rPr>
        <w:t xml:space="preserve">Experience working with or for UN agencies, INGOs, or IGOs in LAC on climate-related programming; </w:t>
      </w:r>
    </w:p>
    <w:p w14:paraId="43D01E18" w14:textId="36163531" w:rsidR="00172562" w:rsidRDefault="00172562" w:rsidP="00172562">
      <w:pPr>
        <w:pStyle w:val="ListParagraph"/>
        <w:numPr>
          <w:ilvl w:val="0"/>
          <w:numId w:val="2"/>
        </w:numPr>
        <w:spacing w:before="40" w:after="40"/>
      </w:pPr>
      <w:r>
        <w:rPr>
          <w:rFonts w:ascii="Arial" w:eastAsia="Arial" w:hAnsi="Arial" w:cs="Arial"/>
          <w:color w:val="333333"/>
        </w:rPr>
        <w:t>Demonstrated familiarity with IFI instruments (IDB, World Bank, CAF) in the context of climate adaptation and resilience.</w:t>
      </w:r>
    </w:p>
    <w:p w14:paraId="5FFEF0E4" w14:textId="77777777" w:rsidR="00DF35E4" w:rsidRDefault="00000000">
      <w:pPr>
        <w:spacing w:before="120" w:after="60"/>
      </w:pPr>
      <w:r>
        <w:rPr>
          <w:rFonts w:ascii="Arial" w:eastAsia="Arial" w:hAnsi="Arial" w:cs="Arial"/>
          <w:b/>
          <w:bCs/>
          <w:color w:val="333333"/>
        </w:rPr>
        <w:t>Languages</w:t>
      </w:r>
    </w:p>
    <w:p w14:paraId="1F5AD132" w14:textId="0D036874" w:rsidR="00DF35E4" w:rsidRDefault="00000000" w:rsidP="00172562">
      <w:pPr>
        <w:spacing w:before="40" w:after="80"/>
      </w:pPr>
      <w:r>
        <w:rPr>
          <w:rFonts w:ascii="Arial" w:eastAsia="Arial" w:hAnsi="Arial" w:cs="Arial"/>
          <w:color w:val="333333"/>
        </w:rPr>
        <w:t xml:space="preserve">Fluency in English (written and spoken) is required. Intermediate Spanish (reading and consultation level) is </w:t>
      </w:r>
      <w:r w:rsidR="00172562">
        <w:rPr>
          <w:rFonts w:ascii="Arial" w:eastAsia="Arial" w:hAnsi="Arial" w:cs="Arial"/>
          <w:color w:val="333333"/>
        </w:rPr>
        <w:t>essential</w:t>
      </w:r>
      <w:r>
        <w:rPr>
          <w:rFonts w:ascii="Arial" w:eastAsia="Arial" w:hAnsi="Arial" w:cs="Arial"/>
          <w:color w:val="333333"/>
        </w:rPr>
        <w:t>.</w:t>
      </w:r>
    </w:p>
    <w:p w14:paraId="0A4E0C20" w14:textId="77777777" w:rsidR="00DF35E4" w:rsidRDefault="00000000">
      <w:pPr>
        <w:spacing w:before="200" w:after="80"/>
      </w:pPr>
      <w:r>
        <w:rPr>
          <w:rFonts w:ascii="Arial" w:eastAsia="Arial" w:hAnsi="Arial" w:cs="Arial"/>
          <w:b/>
          <w:bCs/>
          <w:color w:val="E87722"/>
          <w:sz w:val="30"/>
          <w:szCs w:val="30"/>
        </w:rPr>
        <w:t>Bids</w:t>
      </w:r>
    </w:p>
    <w:p w14:paraId="6F33E19E" w14:textId="77777777" w:rsidR="00DF35E4" w:rsidRDefault="00DF35E4">
      <w:pPr>
        <w:pBdr>
          <w:bottom w:val="single" w:sz="6" w:space="0" w:color="E87722"/>
        </w:pBdr>
        <w:spacing w:before="80" w:after="80"/>
      </w:pPr>
    </w:p>
    <w:p w14:paraId="34635ADE" w14:textId="77777777" w:rsidR="00DF35E4" w:rsidRDefault="00DF35E4">
      <w:pPr>
        <w:spacing w:after="80"/>
      </w:pPr>
    </w:p>
    <w:p w14:paraId="62A1C2D9" w14:textId="77777777" w:rsidR="00DF35E4" w:rsidRDefault="00000000">
      <w:pPr>
        <w:spacing w:before="40" w:after="80"/>
      </w:pPr>
      <w:r>
        <w:rPr>
          <w:rFonts w:ascii="Arial" w:eastAsia="Arial" w:hAnsi="Arial" w:cs="Arial"/>
          <w:color w:val="333333"/>
        </w:rPr>
        <w:t xml:space="preserve">Please send your completed bid to </w:t>
      </w:r>
      <w:r>
        <w:rPr>
          <w:rFonts w:ascii="Arial" w:eastAsia="Arial" w:hAnsi="Arial" w:cs="Arial"/>
          <w:b/>
          <w:bCs/>
          <w:color w:val="333333"/>
        </w:rPr>
        <w:t>norcap@nrc.no</w:t>
      </w:r>
      <w:r>
        <w:rPr>
          <w:rFonts w:ascii="Arial" w:eastAsia="Arial" w:hAnsi="Arial" w:cs="Arial"/>
          <w:color w:val="333333"/>
        </w:rPr>
        <w:t xml:space="preserve"> with the subject line </w:t>
      </w:r>
      <w:r>
        <w:rPr>
          <w:rFonts w:ascii="Arial" w:eastAsia="Arial" w:hAnsi="Arial" w:cs="Arial"/>
          <w:b/>
          <w:bCs/>
          <w:color w:val="333333"/>
        </w:rPr>
        <w:t>LAC Climate Financing Deep Dive – Consultancy Application</w:t>
      </w:r>
      <w:r>
        <w:rPr>
          <w:rFonts w:ascii="Arial" w:eastAsia="Arial" w:hAnsi="Arial" w:cs="Arial"/>
          <w:color w:val="333333"/>
        </w:rPr>
        <w:t>, including:</w:t>
      </w:r>
    </w:p>
    <w:p w14:paraId="72BCF49E" w14:textId="77777777" w:rsidR="00DF35E4" w:rsidRDefault="00DF35E4">
      <w:pPr>
        <w:spacing w:after="60"/>
      </w:pPr>
    </w:p>
    <w:p w14:paraId="56013FEB" w14:textId="77777777" w:rsidR="00DF35E4" w:rsidRDefault="00000000">
      <w:pPr>
        <w:pStyle w:val="ListParagraph"/>
        <w:numPr>
          <w:ilvl w:val="0"/>
          <w:numId w:val="2"/>
        </w:numPr>
        <w:spacing w:before="40" w:after="40"/>
      </w:pPr>
      <w:r>
        <w:rPr>
          <w:rFonts w:ascii="Arial" w:eastAsia="Arial" w:hAnsi="Arial" w:cs="Arial"/>
          <w:color w:val="333333"/>
        </w:rPr>
        <w:t>Technical proposal: a brief explanation of the consultant’s understanding of the assignment and proposed methodology (max 3 pages);</w:t>
      </w:r>
    </w:p>
    <w:p w14:paraId="08FDF137" w14:textId="77777777" w:rsidR="00DF35E4" w:rsidRDefault="00000000">
      <w:pPr>
        <w:pStyle w:val="ListParagraph"/>
        <w:numPr>
          <w:ilvl w:val="0"/>
          <w:numId w:val="2"/>
        </w:numPr>
        <w:spacing w:before="40" w:after="40"/>
      </w:pPr>
      <w:r>
        <w:rPr>
          <w:rFonts w:ascii="Arial" w:eastAsia="Arial" w:hAnsi="Arial" w:cs="Arial"/>
          <w:color w:val="333333"/>
        </w:rPr>
        <w:t>Suggested work plan and availability over the consultancy period (August–November 2026);</w:t>
      </w:r>
    </w:p>
    <w:p w14:paraId="111B9277" w14:textId="77777777" w:rsidR="00DF35E4" w:rsidRDefault="00000000">
      <w:pPr>
        <w:pStyle w:val="ListParagraph"/>
        <w:numPr>
          <w:ilvl w:val="0"/>
          <w:numId w:val="2"/>
        </w:numPr>
        <w:spacing w:before="40" w:after="40"/>
      </w:pPr>
      <w:r>
        <w:rPr>
          <w:rFonts w:ascii="Arial" w:eastAsia="Arial" w:hAnsi="Arial" w:cs="Arial"/>
          <w:color w:val="333333"/>
        </w:rPr>
        <w:t>CV of consultant(s);</w:t>
      </w:r>
    </w:p>
    <w:p w14:paraId="69CE9DA5" w14:textId="77777777" w:rsidR="00DF35E4" w:rsidRDefault="00000000">
      <w:pPr>
        <w:pStyle w:val="ListParagraph"/>
        <w:numPr>
          <w:ilvl w:val="0"/>
          <w:numId w:val="2"/>
        </w:numPr>
        <w:spacing w:before="40" w:after="40"/>
      </w:pPr>
      <w:r>
        <w:rPr>
          <w:rFonts w:ascii="Arial" w:eastAsia="Arial" w:hAnsi="Arial" w:cs="Arial"/>
          <w:color w:val="333333"/>
        </w:rPr>
        <w:t>Two examples of similar analytical work (climate finance, climate policy, or related); and</w:t>
      </w:r>
    </w:p>
    <w:p w14:paraId="3682A88C" w14:textId="77777777" w:rsidR="00DF35E4" w:rsidRDefault="00000000">
      <w:pPr>
        <w:pStyle w:val="ListParagraph"/>
        <w:numPr>
          <w:ilvl w:val="0"/>
          <w:numId w:val="2"/>
        </w:numPr>
        <w:spacing w:before="40" w:after="40"/>
      </w:pPr>
      <w:r>
        <w:rPr>
          <w:rFonts w:ascii="Arial" w:eastAsia="Arial" w:hAnsi="Arial" w:cs="Arial"/>
          <w:color w:val="333333"/>
        </w:rPr>
        <w:t>Proposed daily rate and total budget.</w:t>
      </w:r>
    </w:p>
    <w:p w14:paraId="12883EBE" w14:textId="77777777" w:rsidR="00DF35E4" w:rsidRDefault="00000000">
      <w:pPr>
        <w:spacing w:before="40" w:after="80"/>
      </w:pPr>
      <w:r>
        <w:rPr>
          <w:rFonts w:ascii="Arial" w:eastAsia="Arial" w:hAnsi="Arial" w:cs="Arial"/>
          <w:b/>
          <w:bCs/>
          <w:color w:val="333333"/>
        </w:rPr>
        <w:t>Deadline: 15 July 2026</w:t>
      </w:r>
    </w:p>
    <w:p w14:paraId="0FDBBB58" w14:textId="77777777" w:rsidR="00DF35E4" w:rsidRDefault="00DF35E4">
      <w:pPr>
        <w:spacing w:after="60"/>
      </w:pPr>
    </w:p>
    <w:p w14:paraId="4F8B9C11" w14:textId="7786AED3" w:rsidR="00DF725E" w:rsidRDefault="00000000" w:rsidP="00DF725E">
      <w:pPr>
        <w:spacing w:before="40" w:after="80"/>
      </w:pPr>
      <w:r>
        <w:rPr>
          <w:rFonts w:ascii="Arial" w:eastAsia="Arial" w:hAnsi="Arial" w:cs="Arial"/>
          <w:color w:val="333333"/>
        </w:rPr>
        <w:t xml:space="preserve">For questions </w:t>
      </w:r>
      <w:r w:rsidR="00605970">
        <w:rPr>
          <w:rFonts w:ascii="Arial" w:eastAsia="Arial" w:hAnsi="Arial" w:cs="Arial"/>
          <w:color w:val="333333"/>
        </w:rPr>
        <w:t xml:space="preserve">prior to application </w:t>
      </w:r>
      <w:r>
        <w:rPr>
          <w:rFonts w:ascii="Arial" w:eastAsia="Arial" w:hAnsi="Arial" w:cs="Arial"/>
          <w:color w:val="333333"/>
        </w:rPr>
        <w:t xml:space="preserve">please contact: </w:t>
      </w:r>
      <w:r>
        <w:rPr>
          <w:rFonts w:ascii="Arial" w:eastAsia="Arial" w:hAnsi="Arial" w:cs="Arial"/>
          <w:b/>
          <w:bCs/>
          <w:color w:val="333333"/>
        </w:rPr>
        <w:t>Anna Kondakhchyan</w:t>
      </w:r>
      <w:r>
        <w:rPr>
          <w:rFonts w:ascii="Arial" w:eastAsia="Arial" w:hAnsi="Arial" w:cs="Arial"/>
          <w:color w:val="333333"/>
        </w:rPr>
        <w:t>, Global Policy Lead, NORCAP – anna.kondakhchyan@nrc.no</w:t>
      </w:r>
    </w:p>
    <w:p w14:paraId="37725B69" w14:textId="77777777" w:rsidR="00DF725E" w:rsidRDefault="00DF725E" w:rsidP="00DF725E">
      <w:pPr>
        <w:pBdr>
          <w:top w:val="single" w:sz="2" w:space="2" w:color="CCCCCC"/>
        </w:pBdr>
        <w:spacing w:before="280" w:after="60"/>
      </w:pPr>
      <w:r>
        <w:rPr>
          <w:i/>
          <w:iCs/>
          <w:color w:val="7F7F7F"/>
          <w:sz w:val="17"/>
          <w:szCs w:val="17"/>
        </w:rPr>
        <w:t>This is a AI-assisted product – with end-to-end human oversight. AI</w:t>
      </w:r>
      <w:r w:rsidRPr="001E11B0">
        <w:rPr>
          <w:i/>
          <w:iCs/>
          <w:color w:val="7F7F7F"/>
          <w:sz w:val="17"/>
          <w:szCs w:val="17"/>
        </w:rPr>
        <w:t xml:space="preserve"> use was restricted to non</w:t>
      </w:r>
      <w:r w:rsidRPr="001E11B0">
        <w:rPr>
          <w:i/>
          <w:iCs/>
          <w:color w:val="7F7F7F"/>
          <w:sz w:val="17"/>
          <w:szCs w:val="17"/>
        </w:rPr>
        <w:noBreakHyphen/>
        <w:t>analytical, non</w:t>
      </w:r>
      <w:r w:rsidRPr="001E11B0">
        <w:rPr>
          <w:i/>
          <w:iCs/>
          <w:color w:val="7F7F7F"/>
          <w:sz w:val="17"/>
          <w:szCs w:val="17"/>
        </w:rPr>
        <w:noBreakHyphen/>
        <w:t>interpretive functions</w:t>
      </w:r>
      <w:r>
        <w:rPr>
          <w:i/>
          <w:iCs/>
          <w:color w:val="7F7F7F"/>
          <w:sz w:val="17"/>
          <w:szCs w:val="17"/>
        </w:rPr>
        <w:t xml:space="preserve">. Narrative was developed by the author – AI assisted with clarity and flow of content </w:t>
      </w:r>
    </w:p>
    <w:p w14:paraId="0129B0DA" w14:textId="77777777" w:rsidR="00DF725E" w:rsidRDefault="00DF725E">
      <w:pPr>
        <w:spacing w:after="200"/>
      </w:pPr>
    </w:p>
    <w:p w14:paraId="6D98B019" w14:textId="77777777" w:rsidR="00DF35E4" w:rsidRDefault="00DF35E4">
      <w:pPr>
        <w:pageBreakBefore/>
      </w:pPr>
    </w:p>
    <w:p w14:paraId="15A8AEB0" w14:textId="77777777" w:rsidR="00DF35E4" w:rsidRDefault="00000000">
      <w:pPr>
        <w:spacing w:before="200" w:after="80"/>
      </w:pPr>
      <w:r>
        <w:rPr>
          <w:rFonts w:ascii="Arial" w:eastAsia="Arial" w:hAnsi="Arial" w:cs="Arial"/>
          <w:b/>
          <w:bCs/>
          <w:color w:val="E87722"/>
          <w:sz w:val="30"/>
          <w:szCs w:val="30"/>
        </w:rPr>
        <w:t>Annex 2: Deadlines &amp; Deliverables</w:t>
      </w:r>
    </w:p>
    <w:p w14:paraId="0342564E" w14:textId="77777777" w:rsidR="00DF35E4" w:rsidRDefault="00DF35E4">
      <w:pPr>
        <w:pBdr>
          <w:bottom w:val="single" w:sz="6" w:space="0" w:color="E87722"/>
        </w:pBdr>
        <w:spacing w:before="80" w:after="80"/>
      </w:pPr>
    </w:p>
    <w:p w14:paraId="22F5A2F0" w14:textId="77777777" w:rsidR="00DF35E4" w:rsidRDefault="00DF35E4">
      <w:pPr>
        <w:spacing w:after="80"/>
      </w:pPr>
    </w:p>
    <w:p w14:paraId="4478984C" w14:textId="3D276BD5" w:rsidR="00DF35E4" w:rsidRDefault="00000000">
      <w:pPr>
        <w:spacing w:before="40" w:after="80"/>
      </w:pPr>
      <w:r>
        <w:rPr>
          <w:rFonts w:ascii="Arial" w:eastAsia="Arial" w:hAnsi="Arial" w:cs="Arial"/>
          <w:color w:val="333333"/>
        </w:rPr>
        <w:t>The service is estimated at 20 working days, spread over a maximum period of 4 months.</w:t>
      </w:r>
      <w:r w:rsidR="00340AE9">
        <w:rPr>
          <w:rFonts w:ascii="Arial" w:eastAsia="Arial" w:hAnsi="Arial" w:cs="Arial"/>
          <w:color w:val="333333"/>
        </w:rPr>
        <w:t xml:space="preserve"> Estimated budget ceiling is USD12000</w:t>
      </w:r>
    </w:p>
    <w:p w14:paraId="6177748C" w14:textId="77777777" w:rsidR="00DF35E4" w:rsidRDefault="00DF35E4">
      <w:pPr>
        <w:spacing w:after="60"/>
      </w:pPr>
    </w:p>
    <w:p w14:paraId="3EBF1000" w14:textId="77777777" w:rsidR="00DF35E4" w:rsidRDefault="00000000">
      <w:pPr>
        <w:spacing w:before="40" w:after="80"/>
      </w:pPr>
      <w:r>
        <w:rPr>
          <w:rFonts w:ascii="Arial" w:eastAsia="Arial" w:hAnsi="Arial" w:cs="Arial"/>
          <w:b/>
          <w:bCs/>
          <w:color w:val="333333"/>
        </w:rPr>
        <w:t xml:space="preserve">Start date: </w:t>
      </w:r>
      <w:r>
        <w:rPr>
          <w:rFonts w:ascii="Arial" w:eastAsia="Arial" w:hAnsi="Arial" w:cs="Arial"/>
          <w:color w:val="333333"/>
        </w:rPr>
        <w:t>August 2026 (to be confirmed upon contract signature)</w:t>
      </w:r>
    </w:p>
    <w:p w14:paraId="42D5B47B" w14:textId="77777777" w:rsidR="00DF35E4" w:rsidRDefault="00DF35E4">
      <w:pPr>
        <w:spacing w:after="40"/>
      </w:pPr>
    </w:p>
    <w:p w14:paraId="1B799C6A" w14:textId="77777777" w:rsidR="00DF35E4" w:rsidRDefault="00000000">
      <w:pPr>
        <w:spacing w:before="40" w:after="80"/>
      </w:pPr>
      <w:r>
        <w:rPr>
          <w:rFonts w:ascii="Arial" w:eastAsia="Arial" w:hAnsi="Arial" w:cs="Arial"/>
          <w:b/>
          <w:bCs/>
          <w:color w:val="333333"/>
        </w:rPr>
        <w:t xml:space="preserve">End date: </w:t>
      </w:r>
      <w:r>
        <w:rPr>
          <w:rFonts w:ascii="Arial" w:eastAsia="Arial" w:hAnsi="Arial" w:cs="Arial"/>
          <w:color w:val="333333"/>
        </w:rPr>
        <w:t>No later than 30 November 2026</w:t>
      </w:r>
    </w:p>
    <w:p w14:paraId="23725E29" w14:textId="77777777" w:rsidR="00DF35E4" w:rsidRDefault="00DF35E4" w:rsidP="00172562">
      <w:pPr>
        <w:shd w:val="clear" w:color="auto" w:fill="F2F2F2" w:themeFill="background1" w:themeFillShade="F2"/>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909"/>
        <w:gridCol w:w="5091"/>
        <w:gridCol w:w="2425"/>
        <w:gridCol w:w="1213"/>
      </w:tblGrid>
      <w:tr w:rsidR="00DF35E4" w14:paraId="3058CA04" w14:textId="77777777" w:rsidTr="00172562">
        <w:tc>
          <w:tcPr>
            <w:tcW w:w="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5930197" w14:textId="77777777" w:rsidR="00DF35E4" w:rsidRPr="00172562" w:rsidRDefault="00000000">
            <w:pPr>
              <w:rPr>
                <w:color w:val="000000" w:themeColor="text1"/>
              </w:rPr>
            </w:pPr>
            <w:r w:rsidRPr="00172562">
              <w:rPr>
                <w:rFonts w:ascii="Arial" w:eastAsia="Arial" w:hAnsi="Arial" w:cs="Arial"/>
                <w:b/>
                <w:bCs/>
                <w:color w:val="000000" w:themeColor="text1"/>
                <w:sz w:val="19"/>
                <w:szCs w:val="19"/>
              </w:rPr>
              <w:t>Days</w:t>
            </w:r>
          </w:p>
        </w:tc>
        <w:tc>
          <w:tcPr>
            <w:tcW w:w="50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3B0EEA0" w14:textId="77777777" w:rsidR="00DF35E4" w:rsidRPr="00172562" w:rsidRDefault="00000000">
            <w:pPr>
              <w:rPr>
                <w:color w:val="000000" w:themeColor="text1"/>
              </w:rPr>
            </w:pPr>
            <w:r w:rsidRPr="00172562">
              <w:rPr>
                <w:rFonts w:ascii="Arial" w:eastAsia="Arial" w:hAnsi="Arial" w:cs="Arial"/>
                <w:b/>
                <w:bCs/>
                <w:color w:val="000000" w:themeColor="text1"/>
                <w:sz w:val="19"/>
                <w:szCs w:val="19"/>
              </w:rPr>
              <w:t>Deliverable</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5BF31D6" w14:textId="77777777" w:rsidR="00DF35E4" w:rsidRPr="00172562" w:rsidRDefault="00000000">
            <w:pPr>
              <w:rPr>
                <w:color w:val="000000" w:themeColor="text1"/>
              </w:rPr>
            </w:pPr>
            <w:r w:rsidRPr="00172562">
              <w:rPr>
                <w:rFonts w:ascii="Arial" w:eastAsia="Arial" w:hAnsi="Arial" w:cs="Arial"/>
                <w:b/>
                <w:bCs/>
                <w:color w:val="000000" w:themeColor="text1"/>
                <w:sz w:val="19"/>
                <w:szCs w:val="19"/>
              </w:rPr>
              <w:t>Deadline (indicative)</w:t>
            </w:r>
          </w:p>
        </w:tc>
        <w:tc>
          <w:tcPr>
            <w:tcW w:w="12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2E7C40C" w14:textId="77777777" w:rsidR="00DF35E4" w:rsidRPr="00172562" w:rsidRDefault="00000000">
            <w:pPr>
              <w:rPr>
                <w:color w:val="000000" w:themeColor="text1"/>
              </w:rPr>
            </w:pPr>
            <w:r w:rsidRPr="00172562">
              <w:rPr>
                <w:rFonts w:ascii="Arial" w:eastAsia="Arial" w:hAnsi="Arial" w:cs="Arial"/>
                <w:b/>
                <w:bCs/>
                <w:color w:val="000000" w:themeColor="text1"/>
                <w:sz w:val="19"/>
                <w:szCs w:val="19"/>
              </w:rPr>
              <w:t>Days used</w:t>
            </w:r>
          </w:p>
        </w:tc>
      </w:tr>
      <w:tr w:rsidR="00DF35E4" w14:paraId="0B3CF66F" w14:textId="77777777" w:rsidTr="00172562">
        <w:tc>
          <w:tcPr>
            <w:tcW w:w="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94AC422" w14:textId="77777777" w:rsidR="00DF35E4" w:rsidRDefault="00000000">
            <w:r>
              <w:rPr>
                <w:rFonts w:ascii="Arial" w:eastAsia="Arial" w:hAnsi="Arial" w:cs="Arial"/>
                <w:color w:val="333333"/>
                <w:sz w:val="19"/>
                <w:szCs w:val="19"/>
              </w:rPr>
              <w:t>1–3</w:t>
            </w:r>
          </w:p>
        </w:tc>
        <w:tc>
          <w:tcPr>
            <w:tcW w:w="50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4532D89" w14:textId="77777777" w:rsidR="00DF35E4" w:rsidRDefault="00000000">
            <w:r>
              <w:rPr>
                <w:rFonts w:ascii="Arial" w:eastAsia="Arial" w:hAnsi="Arial" w:cs="Arial"/>
                <w:color w:val="333333"/>
                <w:sz w:val="19"/>
                <w:szCs w:val="19"/>
              </w:rPr>
              <w:t>Inception report and work plan</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606AACD" w14:textId="77777777" w:rsidR="00DF35E4" w:rsidRDefault="00000000">
            <w:r>
              <w:rPr>
                <w:rFonts w:ascii="Arial" w:eastAsia="Arial" w:hAnsi="Arial" w:cs="Arial"/>
                <w:color w:val="333333"/>
                <w:sz w:val="19"/>
                <w:szCs w:val="19"/>
              </w:rPr>
              <w:t>End of August 2026</w:t>
            </w:r>
          </w:p>
        </w:tc>
        <w:tc>
          <w:tcPr>
            <w:tcW w:w="12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68D33FA1" w14:textId="77777777" w:rsidR="00DF35E4" w:rsidRDefault="00000000">
            <w:r>
              <w:rPr>
                <w:rFonts w:ascii="Arial" w:eastAsia="Arial" w:hAnsi="Arial" w:cs="Arial"/>
                <w:color w:val="333333"/>
                <w:sz w:val="19"/>
                <w:szCs w:val="19"/>
              </w:rPr>
              <w:t>3</w:t>
            </w:r>
          </w:p>
        </w:tc>
      </w:tr>
      <w:tr w:rsidR="00DF35E4" w14:paraId="7828196D" w14:textId="77777777" w:rsidTr="00172562">
        <w:tc>
          <w:tcPr>
            <w:tcW w:w="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CC6A5DD" w14:textId="77777777" w:rsidR="00DF35E4" w:rsidRDefault="00000000">
            <w:r>
              <w:rPr>
                <w:rFonts w:ascii="Arial" w:eastAsia="Arial" w:hAnsi="Arial" w:cs="Arial"/>
                <w:color w:val="333333"/>
                <w:sz w:val="19"/>
                <w:szCs w:val="19"/>
              </w:rPr>
              <w:t>4–10</w:t>
            </w:r>
          </w:p>
        </w:tc>
        <w:tc>
          <w:tcPr>
            <w:tcW w:w="50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BD5E933" w14:textId="77777777" w:rsidR="00DF35E4" w:rsidRDefault="00000000">
            <w:r>
              <w:rPr>
                <w:rFonts w:ascii="Arial" w:eastAsia="Arial" w:hAnsi="Arial" w:cs="Arial"/>
                <w:color w:val="333333"/>
                <w:sz w:val="19"/>
                <w:szCs w:val="19"/>
              </w:rPr>
              <w:t>Interim mapping report: international and IFI climate finance</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4860222B" w14:textId="77777777" w:rsidR="00DF35E4" w:rsidRDefault="00000000">
            <w:r>
              <w:rPr>
                <w:rFonts w:ascii="Arial" w:eastAsia="Arial" w:hAnsi="Arial" w:cs="Arial"/>
                <w:color w:val="333333"/>
                <w:sz w:val="19"/>
                <w:szCs w:val="19"/>
              </w:rPr>
              <w:t>End of September 2026</w:t>
            </w:r>
          </w:p>
        </w:tc>
        <w:tc>
          <w:tcPr>
            <w:tcW w:w="12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B0BA0E4" w14:textId="77777777" w:rsidR="00DF35E4" w:rsidRDefault="00000000">
            <w:r>
              <w:rPr>
                <w:rFonts w:ascii="Arial" w:eastAsia="Arial" w:hAnsi="Arial" w:cs="Arial"/>
                <w:color w:val="333333"/>
                <w:sz w:val="19"/>
                <w:szCs w:val="19"/>
              </w:rPr>
              <w:t>7</w:t>
            </w:r>
          </w:p>
        </w:tc>
      </w:tr>
      <w:tr w:rsidR="00DF35E4" w14:paraId="00C2475A" w14:textId="77777777" w:rsidTr="00172562">
        <w:tc>
          <w:tcPr>
            <w:tcW w:w="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5645931" w14:textId="77777777" w:rsidR="00DF35E4" w:rsidRDefault="00000000">
            <w:r>
              <w:rPr>
                <w:rFonts w:ascii="Arial" w:eastAsia="Arial" w:hAnsi="Arial" w:cs="Arial"/>
                <w:color w:val="333333"/>
                <w:sz w:val="19"/>
                <w:szCs w:val="19"/>
              </w:rPr>
              <w:t>11–15</w:t>
            </w:r>
          </w:p>
        </w:tc>
        <w:tc>
          <w:tcPr>
            <w:tcW w:w="50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65BE8A89" w14:textId="77777777" w:rsidR="00DF35E4" w:rsidRDefault="00000000">
            <w:r>
              <w:rPr>
                <w:rFonts w:ascii="Arial" w:eastAsia="Arial" w:hAnsi="Arial" w:cs="Arial"/>
                <w:color w:val="333333"/>
                <w:sz w:val="19"/>
                <w:szCs w:val="19"/>
              </w:rPr>
              <w:t>National financing frameworks and Loss and Damage analysis</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9D58C86" w14:textId="77777777" w:rsidR="00DF35E4" w:rsidRDefault="00000000">
            <w:r>
              <w:rPr>
                <w:rFonts w:ascii="Arial" w:eastAsia="Arial" w:hAnsi="Arial" w:cs="Arial"/>
                <w:color w:val="333333"/>
                <w:sz w:val="19"/>
                <w:szCs w:val="19"/>
              </w:rPr>
              <w:t>End of October 2026</w:t>
            </w:r>
          </w:p>
        </w:tc>
        <w:tc>
          <w:tcPr>
            <w:tcW w:w="12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07CD9F4" w14:textId="77777777" w:rsidR="00DF35E4" w:rsidRDefault="00000000">
            <w:r>
              <w:rPr>
                <w:rFonts w:ascii="Arial" w:eastAsia="Arial" w:hAnsi="Arial" w:cs="Arial"/>
                <w:color w:val="333333"/>
                <w:sz w:val="19"/>
                <w:szCs w:val="19"/>
              </w:rPr>
              <w:t>5</w:t>
            </w:r>
          </w:p>
        </w:tc>
      </w:tr>
      <w:tr w:rsidR="00DF35E4" w14:paraId="326FC853" w14:textId="77777777" w:rsidTr="00172562">
        <w:tc>
          <w:tcPr>
            <w:tcW w:w="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837F5C7" w14:textId="77777777" w:rsidR="00DF35E4" w:rsidRDefault="00000000">
            <w:r>
              <w:rPr>
                <w:rFonts w:ascii="Arial" w:eastAsia="Arial" w:hAnsi="Arial" w:cs="Arial"/>
                <w:color w:val="333333"/>
                <w:sz w:val="19"/>
                <w:szCs w:val="19"/>
              </w:rPr>
              <w:t>16–19</w:t>
            </w:r>
          </w:p>
        </w:tc>
        <w:tc>
          <w:tcPr>
            <w:tcW w:w="50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5DCA1F8" w14:textId="77777777" w:rsidR="00DF35E4" w:rsidRDefault="00000000">
            <w:r>
              <w:rPr>
                <w:rFonts w:ascii="Arial" w:eastAsia="Arial" w:hAnsi="Arial" w:cs="Arial"/>
                <w:color w:val="333333"/>
                <w:sz w:val="19"/>
                <w:szCs w:val="19"/>
              </w:rPr>
              <w:t>Final Deep Dive report (incorporating NORCAP feedback)</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0C3E81C3" w14:textId="77777777" w:rsidR="00DF35E4" w:rsidRDefault="00000000">
            <w:r>
              <w:rPr>
                <w:rFonts w:ascii="Arial" w:eastAsia="Arial" w:hAnsi="Arial" w:cs="Arial"/>
                <w:color w:val="333333"/>
                <w:sz w:val="19"/>
                <w:szCs w:val="19"/>
              </w:rPr>
              <w:t>Mid-November 2026</w:t>
            </w:r>
          </w:p>
        </w:tc>
        <w:tc>
          <w:tcPr>
            <w:tcW w:w="12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504C113" w14:textId="77777777" w:rsidR="00DF35E4" w:rsidRDefault="00000000">
            <w:r>
              <w:rPr>
                <w:rFonts w:ascii="Arial" w:eastAsia="Arial" w:hAnsi="Arial" w:cs="Arial"/>
                <w:color w:val="333333"/>
                <w:sz w:val="19"/>
                <w:szCs w:val="19"/>
              </w:rPr>
              <w:t>4</w:t>
            </w:r>
          </w:p>
        </w:tc>
      </w:tr>
      <w:tr w:rsidR="00DF35E4" w14:paraId="1D06F02B" w14:textId="77777777" w:rsidTr="00172562">
        <w:tc>
          <w:tcPr>
            <w:tcW w:w="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0564EA81" w14:textId="77777777" w:rsidR="00DF35E4" w:rsidRDefault="00000000">
            <w:r>
              <w:rPr>
                <w:rFonts w:ascii="Arial" w:eastAsia="Arial" w:hAnsi="Arial" w:cs="Arial"/>
                <w:color w:val="333333"/>
                <w:sz w:val="19"/>
                <w:szCs w:val="19"/>
              </w:rPr>
              <w:t>20</w:t>
            </w:r>
          </w:p>
        </w:tc>
        <w:tc>
          <w:tcPr>
            <w:tcW w:w="50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0B84FBE2" w14:textId="77777777" w:rsidR="00DF35E4" w:rsidRDefault="00000000">
            <w:r>
              <w:rPr>
                <w:rFonts w:ascii="Arial" w:eastAsia="Arial" w:hAnsi="Arial" w:cs="Arial"/>
                <w:color w:val="333333"/>
                <w:sz w:val="19"/>
                <w:szCs w:val="19"/>
              </w:rPr>
              <w:t>Executive summary (2 pp)</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07BFB63E" w14:textId="77777777" w:rsidR="00DF35E4" w:rsidRDefault="00000000">
            <w:r>
              <w:rPr>
                <w:rFonts w:ascii="Arial" w:eastAsia="Arial" w:hAnsi="Arial" w:cs="Arial"/>
                <w:color w:val="333333"/>
                <w:sz w:val="19"/>
                <w:szCs w:val="19"/>
              </w:rPr>
              <w:t>End of November 2026</w:t>
            </w:r>
          </w:p>
        </w:tc>
        <w:tc>
          <w:tcPr>
            <w:tcW w:w="12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60BF1148" w14:textId="77777777" w:rsidR="00DF35E4" w:rsidRDefault="00000000">
            <w:r>
              <w:rPr>
                <w:rFonts w:ascii="Arial" w:eastAsia="Arial" w:hAnsi="Arial" w:cs="Arial"/>
                <w:color w:val="333333"/>
                <w:sz w:val="19"/>
                <w:szCs w:val="19"/>
              </w:rPr>
              <w:t>1</w:t>
            </w:r>
          </w:p>
        </w:tc>
      </w:tr>
      <w:tr w:rsidR="00DF35E4" w14:paraId="30A56E29" w14:textId="77777777" w:rsidTr="00172562">
        <w:tc>
          <w:tcPr>
            <w:tcW w:w="9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2E386283" w14:textId="77777777" w:rsidR="00DF35E4" w:rsidRDefault="00000000">
            <w:r>
              <w:rPr>
                <w:rFonts w:ascii="Arial" w:eastAsia="Arial" w:hAnsi="Arial" w:cs="Arial"/>
                <w:b/>
                <w:bCs/>
                <w:color w:val="333333"/>
                <w:sz w:val="19"/>
                <w:szCs w:val="19"/>
              </w:rPr>
              <w:t>Total</w:t>
            </w:r>
          </w:p>
        </w:tc>
        <w:tc>
          <w:tcPr>
            <w:tcW w:w="50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4427FA9B" w14:textId="77777777" w:rsidR="00DF35E4" w:rsidRDefault="00DF35E4"/>
        </w:tc>
        <w:tc>
          <w:tcPr>
            <w:tcW w:w="24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4CC5DCEE" w14:textId="77777777" w:rsidR="00DF35E4" w:rsidRDefault="00DF35E4"/>
        </w:tc>
        <w:tc>
          <w:tcPr>
            <w:tcW w:w="12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DB98162" w14:textId="77777777" w:rsidR="00DF35E4" w:rsidRDefault="00000000">
            <w:r>
              <w:rPr>
                <w:rFonts w:ascii="Arial" w:eastAsia="Arial" w:hAnsi="Arial" w:cs="Arial"/>
                <w:b/>
                <w:bCs/>
                <w:color w:val="333333"/>
                <w:sz w:val="19"/>
                <w:szCs w:val="19"/>
              </w:rPr>
              <w:t>20 days</w:t>
            </w:r>
          </w:p>
        </w:tc>
      </w:tr>
    </w:tbl>
    <w:p w14:paraId="557FE167" w14:textId="77777777" w:rsidR="00DF35E4" w:rsidRDefault="00DF35E4">
      <w:pPr>
        <w:spacing w:after="80"/>
      </w:pPr>
    </w:p>
    <w:p w14:paraId="1047C8B2" w14:textId="476FC963" w:rsidR="00DF35E4" w:rsidRDefault="00000000" w:rsidP="00172562">
      <w:pPr>
        <w:spacing w:before="40" w:after="80"/>
      </w:pPr>
      <w:r>
        <w:rPr>
          <w:rFonts w:ascii="Arial" w:eastAsia="Arial" w:hAnsi="Arial" w:cs="Arial"/>
          <w:color w:val="333333"/>
        </w:rPr>
        <w:t>Any significant changes to deliverables or timeline shall be approved by NORCAP in writing.</w:t>
      </w:r>
    </w:p>
    <w:p w14:paraId="2CEB0EF6" w14:textId="77777777" w:rsidR="00DF35E4" w:rsidRDefault="00000000">
      <w:pPr>
        <w:spacing w:before="200" w:after="80"/>
      </w:pPr>
      <w:r>
        <w:rPr>
          <w:rFonts w:ascii="Arial" w:eastAsia="Arial" w:hAnsi="Arial" w:cs="Arial"/>
          <w:b/>
          <w:bCs/>
          <w:color w:val="E87722"/>
          <w:sz w:val="30"/>
          <w:szCs w:val="30"/>
        </w:rPr>
        <w:t>Annex 3: Prices and Payment Provisions</w:t>
      </w:r>
    </w:p>
    <w:p w14:paraId="50A9B2FB" w14:textId="77777777" w:rsidR="00DF35E4" w:rsidRDefault="00DF35E4">
      <w:pPr>
        <w:pBdr>
          <w:bottom w:val="single" w:sz="6" w:space="0" w:color="E87722"/>
        </w:pBdr>
        <w:spacing w:before="80" w:after="80"/>
      </w:pPr>
    </w:p>
    <w:p w14:paraId="19442931" w14:textId="77777777" w:rsidR="00DF35E4" w:rsidRDefault="00DF35E4">
      <w:pPr>
        <w:spacing w:after="80"/>
      </w:pPr>
    </w:p>
    <w:p w14:paraId="66ED06C1" w14:textId="77777777" w:rsidR="00DF35E4" w:rsidRDefault="00000000">
      <w:pPr>
        <w:spacing w:before="40" w:after="80"/>
      </w:pPr>
      <w:r>
        <w:rPr>
          <w:rFonts w:ascii="Arial" w:eastAsia="Arial" w:hAnsi="Arial" w:cs="Arial"/>
          <w:color w:val="333333"/>
        </w:rPr>
        <w:t>The payment for the assignment is agreed as follows:</w:t>
      </w:r>
    </w:p>
    <w:p w14:paraId="2E28FEAB" w14:textId="77777777" w:rsidR="00DF35E4" w:rsidRDefault="00DF35E4">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1800"/>
        <w:gridCol w:w="6338"/>
        <w:gridCol w:w="1500"/>
      </w:tblGrid>
      <w:tr w:rsidR="00DF35E4" w:rsidRPr="00172562" w14:paraId="5642F2AB" w14:textId="77777777" w:rsidTr="00172562">
        <w:tc>
          <w:tcPr>
            <w:tcW w:w="18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75BEB6D1" w14:textId="77777777" w:rsidR="00DF35E4" w:rsidRPr="00172562" w:rsidRDefault="00000000">
            <w:pPr>
              <w:rPr>
                <w:color w:val="000000" w:themeColor="text1"/>
              </w:rPr>
            </w:pPr>
            <w:r w:rsidRPr="00172562">
              <w:rPr>
                <w:rFonts w:ascii="Arial" w:eastAsia="Arial" w:hAnsi="Arial" w:cs="Arial"/>
                <w:b/>
                <w:bCs/>
                <w:color w:val="000000" w:themeColor="text1"/>
                <w:sz w:val="19"/>
                <w:szCs w:val="19"/>
              </w:rPr>
              <w:t>Payment</w:t>
            </w:r>
          </w:p>
        </w:tc>
        <w:tc>
          <w:tcPr>
            <w:tcW w:w="63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307861D1" w14:textId="77777777" w:rsidR="00DF35E4" w:rsidRPr="00172562" w:rsidRDefault="00000000">
            <w:pPr>
              <w:rPr>
                <w:color w:val="000000" w:themeColor="text1"/>
              </w:rPr>
            </w:pPr>
            <w:r w:rsidRPr="00172562">
              <w:rPr>
                <w:rFonts w:ascii="Arial" w:eastAsia="Arial" w:hAnsi="Arial" w:cs="Arial"/>
                <w:b/>
                <w:bCs/>
                <w:color w:val="000000" w:themeColor="text1"/>
                <w:sz w:val="19"/>
                <w:szCs w:val="19"/>
              </w:rPr>
              <w:t>Trigger / Deliverable</w:t>
            </w:r>
          </w:p>
        </w:tc>
        <w:tc>
          <w:tcPr>
            <w:tcW w:w="1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154D6C5D" w14:textId="77777777" w:rsidR="00DF35E4" w:rsidRPr="00172562" w:rsidRDefault="00000000">
            <w:pPr>
              <w:rPr>
                <w:color w:val="000000" w:themeColor="text1"/>
              </w:rPr>
            </w:pPr>
            <w:r w:rsidRPr="00172562">
              <w:rPr>
                <w:rFonts w:ascii="Arial" w:eastAsia="Arial" w:hAnsi="Arial" w:cs="Arial"/>
                <w:b/>
                <w:bCs/>
                <w:color w:val="000000" w:themeColor="text1"/>
                <w:sz w:val="19"/>
                <w:szCs w:val="19"/>
              </w:rPr>
              <w:t>Amount</w:t>
            </w:r>
          </w:p>
        </w:tc>
      </w:tr>
      <w:tr w:rsidR="00DF35E4" w14:paraId="7B5A6DF7" w14:textId="77777777" w:rsidTr="00172562">
        <w:tc>
          <w:tcPr>
            <w:tcW w:w="18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61645D84" w14:textId="77777777" w:rsidR="00DF35E4" w:rsidRDefault="00000000">
            <w:r>
              <w:rPr>
                <w:rFonts w:ascii="Arial" w:eastAsia="Arial" w:hAnsi="Arial" w:cs="Arial"/>
                <w:color w:val="333333"/>
                <w:sz w:val="19"/>
                <w:szCs w:val="19"/>
              </w:rPr>
              <w:t>1st payment</w:t>
            </w:r>
          </w:p>
        </w:tc>
        <w:tc>
          <w:tcPr>
            <w:tcW w:w="63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62647129" w14:textId="77777777" w:rsidR="00DF35E4" w:rsidRDefault="00000000">
            <w:r>
              <w:rPr>
                <w:rFonts w:ascii="Arial" w:eastAsia="Arial" w:hAnsi="Arial" w:cs="Arial"/>
                <w:color w:val="333333"/>
                <w:sz w:val="19"/>
                <w:szCs w:val="19"/>
              </w:rPr>
              <w:t>Upon submission and approval of inception report (D1) and interim mapping report (D2)</w:t>
            </w:r>
          </w:p>
        </w:tc>
        <w:tc>
          <w:tcPr>
            <w:tcW w:w="1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4256146D" w14:textId="77777777" w:rsidR="00DF35E4" w:rsidRDefault="00000000">
            <w:r>
              <w:rPr>
                <w:rFonts w:ascii="Arial" w:eastAsia="Arial" w:hAnsi="Arial" w:cs="Arial"/>
                <w:color w:val="333333"/>
                <w:sz w:val="19"/>
                <w:szCs w:val="19"/>
              </w:rPr>
              <w:t>40% of total fee</w:t>
            </w:r>
          </w:p>
        </w:tc>
      </w:tr>
      <w:tr w:rsidR="00DF35E4" w14:paraId="6A079D16" w14:textId="77777777" w:rsidTr="00172562">
        <w:tc>
          <w:tcPr>
            <w:tcW w:w="18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7398ACD" w14:textId="77777777" w:rsidR="00DF35E4" w:rsidRDefault="00000000">
            <w:r>
              <w:rPr>
                <w:rFonts w:ascii="Arial" w:eastAsia="Arial" w:hAnsi="Arial" w:cs="Arial"/>
                <w:color w:val="333333"/>
                <w:sz w:val="19"/>
                <w:szCs w:val="19"/>
              </w:rPr>
              <w:t>2nd payment</w:t>
            </w:r>
          </w:p>
        </w:tc>
        <w:tc>
          <w:tcPr>
            <w:tcW w:w="63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58EADDE" w14:textId="77777777" w:rsidR="00DF35E4" w:rsidRDefault="00000000">
            <w:r>
              <w:rPr>
                <w:rFonts w:ascii="Arial" w:eastAsia="Arial" w:hAnsi="Arial" w:cs="Arial"/>
                <w:color w:val="333333"/>
                <w:sz w:val="19"/>
                <w:szCs w:val="19"/>
              </w:rPr>
              <w:t>Upon submission and approval of national frameworks and L&amp;D analysis (D3)</w:t>
            </w:r>
          </w:p>
        </w:tc>
        <w:tc>
          <w:tcPr>
            <w:tcW w:w="1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DB0FDDB" w14:textId="77777777" w:rsidR="00DF35E4" w:rsidRDefault="00000000">
            <w:r>
              <w:rPr>
                <w:rFonts w:ascii="Arial" w:eastAsia="Arial" w:hAnsi="Arial" w:cs="Arial"/>
                <w:color w:val="333333"/>
                <w:sz w:val="19"/>
                <w:szCs w:val="19"/>
              </w:rPr>
              <w:t>30% of total fee</w:t>
            </w:r>
          </w:p>
        </w:tc>
      </w:tr>
      <w:tr w:rsidR="00DF35E4" w14:paraId="0DDB16C7" w14:textId="77777777" w:rsidTr="00172562">
        <w:tc>
          <w:tcPr>
            <w:tcW w:w="18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41224FBA" w14:textId="77777777" w:rsidR="00DF35E4" w:rsidRDefault="00000000">
            <w:r>
              <w:rPr>
                <w:rFonts w:ascii="Arial" w:eastAsia="Arial" w:hAnsi="Arial" w:cs="Arial"/>
                <w:color w:val="333333"/>
                <w:sz w:val="19"/>
                <w:szCs w:val="19"/>
              </w:rPr>
              <w:t>3rd and final payment</w:t>
            </w:r>
          </w:p>
        </w:tc>
        <w:tc>
          <w:tcPr>
            <w:tcW w:w="6338"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5C595A46" w14:textId="77777777" w:rsidR="00DF35E4" w:rsidRDefault="00000000">
            <w:r>
              <w:rPr>
                <w:rFonts w:ascii="Arial" w:eastAsia="Arial" w:hAnsi="Arial" w:cs="Arial"/>
                <w:color w:val="333333"/>
                <w:sz w:val="19"/>
                <w:szCs w:val="19"/>
              </w:rPr>
              <w:t>Upon submission and approval of final report and executive summary (D4 and D5)</w:t>
            </w:r>
          </w:p>
        </w:tc>
        <w:tc>
          <w:tcPr>
            <w:tcW w:w="1500" w:type="dxa"/>
            <w:tcBorders>
              <w:top w:val="single" w:sz="4" w:space="0" w:color="CCCCCC"/>
              <w:left w:val="single" w:sz="4" w:space="0" w:color="CCCCCC"/>
              <w:bottom w:val="single" w:sz="4" w:space="0" w:color="CCCCCC"/>
              <w:right w:val="single" w:sz="4" w:space="0" w:color="CCCCCC"/>
            </w:tcBorders>
            <w:shd w:val="clear" w:color="auto" w:fill="F2F2F2" w:themeFill="background1" w:themeFillShade="F2"/>
            <w:tcMar>
              <w:top w:w="80" w:type="dxa"/>
              <w:left w:w="100" w:type="dxa"/>
              <w:bottom w:w="80" w:type="dxa"/>
              <w:right w:w="100" w:type="dxa"/>
            </w:tcMar>
          </w:tcPr>
          <w:p w14:paraId="6AE9291C" w14:textId="77777777" w:rsidR="00DF35E4" w:rsidRDefault="00000000">
            <w:r>
              <w:rPr>
                <w:rFonts w:ascii="Arial" w:eastAsia="Arial" w:hAnsi="Arial" w:cs="Arial"/>
                <w:color w:val="333333"/>
                <w:sz w:val="19"/>
                <w:szCs w:val="19"/>
              </w:rPr>
              <w:t>30% of total fee</w:t>
            </w:r>
          </w:p>
        </w:tc>
      </w:tr>
    </w:tbl>
    <w:p w14:paraId="290590A8" w14:textId="77777777" w:rsidR="00DF35E4" w:rsidRDefault="00DF35E4">
      <w:pPr>
        <w:spacing w:after="120"/>
      </w:pPr>
    </w:p>
    <w:p w14:paraId="558B57FE" w14:textId="77777777" w:rsidR="00DF35E4" w:rsidRDefault="00000000">
      <w:pPr>
        <w:spacing w:before="40" w:after="80"/>
      </w:pPr>
      <w:r>
        <w:rPr>
          <w:rFonts w:ascii="Arial" w:eastAsia="Arial" w:hAnsi="Arial" w:cs="Arial"/>
          <w:color w:val="333333"/>
        </w:rPr>
        <w:t>Invoicing: The invoice must be specified and documented in a way that NRC can easily verify that the agreed fee has been complied with. If expenses are to be reimbursed, they must be pre-approved by NORCAP and original receipts or invoices must be enclosed unless otherwise agreed in writing.</w:t>
      </w:r>
    </w:p>
    <w:p w14:paraId="00DF9954" w14:textId="77777777" w:rsidR="00DF35E4" w:rsidRDefault="00000000">
      <w:pPr>
        <w:spacing w:before="40" w:after="80"/>
      </w:pPr>
      <w:r>
        <w:rPr>
          <w:rFonts w:ascii="Arial" w:eastAsia="Arial" w:hAnsi="Arial" w:cs="Arial"/>
          <w:b/>
          <w:bCs/>
          <w:color w:val="333333"/>
        </w:rPr>
        <w:t>NRC invoice address:</w:t>
      </w:r>
    </w:p>
    <w:p w14:paraId="1D09D900" w14:textId="77777777" w:rsidR="00DF35E4" w:rsidRDefault="00000000">
      <w:pPr>
        <w:spacing w:before="40" w:after="80"/>
      </w:pPr>
      <w:r>
        <w:rPr>
          <w:rFonts w:ascii="Arial" w:eastAsia="Arial" w:hAnsi="Arial" w:cs="Arial"/>
          <w:color w:val="333333"/>
        </w:rPr>
        <w:t>Norwegian Refugee Council (NRC) / Stiftelsen Flyktninghjelpen</w:t>
      </w:r>
    </w:p>
    <w:p w14:paraId="1DD6924C" w14:textId="77777777" w:rsidR="00DF35E4" w:rsidRDefault="00000000">
      <w:pPr>
        <w:spacing w:before="40" w:after="80"/>
      </w:pPr>
      <w:r>
        <w:rPr>
          <w:rFonts w:ascii="Arial" w:eastAsia="Arial" w:hAnsi="Arial" w:cs="Arial"/>
          <w:color w:val="333333"/>
        </w:rPr>
        <w:t>Prinsens gate 2, 0152 Oslo, NORWAY</w:t>
      </w:r>
    </w:p>
    <w:p w14:paraId="4BB71C8D" w14:textId="77777777" w:rsidR="00DF35E4" w:rsidRDefault="00DF35E4">
      <w:pPr>
        <w:spacing w:after="60"/>
      </w:pPr>
    </w:p>
    <w:p w14:paraId="4ACF327D" w14:textId="77777777" w:rsidR="00DF35E4" w:rsidRDefault="00000000">
      <w:pPr>
        <w:spacing w:before="40" w:after="80"/>
        <w:rPr>
          <w:rFonts w:ascii="Arial" w:eastAsia="Arial" w:hAnsi="Arial" w:cs="Arial"/>
          <w:i/>
          <w:iCs/>
          <w:color w:val="333333"/>
        </w:rPr>
      </w:pPr>
      <w:r>
        <w:rPr>
          <w:rFonts w:ascii="Arial" w:eastAsia="Arial" w:hAnsi="Arial" w:cs="Arial"/>
          <w:i/>
          <w:iCs/>
          <w:color w:val="333333"/>
        </w:rPr>
        <w:t>Invoices shall be marked: NORCAP LAC Climate Financing Deep Dive / Anna Kondakhchyan, Global Policy Lead, NORCAP</w:t>
      </w:r>
    </w:p>
    <w:p w14:paraId="2E968493" w14:textId="77777777" w:rsidR="00DF725E" w:rsidRDefault="00DF725E">
      <w:pPr>
        <w:spacing w:before="40" w:after="80"/>
      </w:pPr>
    </w:p>
    <w:sectPr w:rsidR="00DF725E">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D979" w14:textId="77777777" w:rsidR="00F52AFF" w:rsidRDefault="00F52AFF">
      <w:r>
        <w:separator/>
      </w:r>
    </w:p>
  </w:endnote>
  <w:endnote w:type="continuationSeparator" w:id="0">
    <w:p w14:paraId="394BC720" w14:textId="77777777" w:rsidR="00F52AFF" w:rsidRDefault="00F5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EDF1" w14:textId="77777777" w:rsidR="00DF35E4" w:rsidRPr="00172562" w:rsidRDefault="00000000">
    <w:pPr>
      <w:pBdr>
        <w:top w:val="single" w:sz="4" w:space="0" w:color="CCCCCC"/>
      </w:pBdr>
      <w:tabs>
        <w:tab w:val="right" w:pos="9026"/>
      </w:tabs>
      <w:spacing w:before="60"/>
      <w:jc w:val="center"/>
      <w:rPr>
        <w:lang w:val="nb-NO"/>
      </w:rPr>
    </w:pPr>
    <w:r w:rsidRPr="00172562">
      <w:rPr>
        <w:rFonts w:ascii="Arial" w:eastAsia="Arial" w:hAnsi="Arial" w:cs="Arial"/>
        <w:color w:val="666666"/>
        <w:sz w:val="16"/>
        <w:szCs w:val="16"/>
        <w:lang w:val="nb-NO"/>
      </w:rPr>
      <w:t>Prinsens gate 2, N-0152  ·  norcap@nrc.no  ·  www.nrc.no/norcap</w:t>
    </w:r>
    <w:r w:rsidRPr="00172562">
      <w:rPr>
        <w:rFonts w:ascii="Arial" w:eastAsia="Arial" w:hAnsi="Arial" w:cs="Arial"/>
        <w:color w:val="666666"/>
        <w:sz w:val="16"/>
        <w:szCs w:val="16"/>
        <w:lang w:val="nb-NO"/>
      </w:rPr>
      <w:tab/>
      <w:t xml:space="preserve">Page </w:t>
    </w:r>
    <w:r>
      <w:rPr>
        <w:rFonts w:ascii="Arial" w:eastAsia="Arial" w:hAnsi="Arial" w:cs="Arial"/>
        <w:color w:val="666666"/>
        <w:sz w:val="16"/>
        <w:szCs w:val="16"/>
      </w:rPr>
      <w:fldChar w:fldCharType="begin"/>
    </w:r>
    <w:r w:rsidRPr="00172562">
      <w:rPr>
        <w:rFonts w:ascii="Arial" w:eastAsia="Arial" w:hAnsi="Arial" w:cs="Arial"/>
        <w:color w:val="666666"/>
        <w:sz w:val="16"/>
        <w:szCs w:val="16"/>
        <w:lang w:val="nb-NO"/>
      </w:rPr>
      <w:instrText>PAGE</w:instrText>
    </w:r>
    <w:r>
      <w:rPr>
        <w:rFonts w:ascii="Arial" w:eastAsia="Arial" w:hAnsi="Arial" w:cs="Arial"/>
        <w:color w:val="666666"/>
        <w:sz w:val="16"/>
        <w:szCs w:val="16"/>
      </w:rPr>
      <w:fldChar w:fldCharType="separate"/>
    </w:r>
    <w:r w:rsidR="00172562" w:rsidRPr="00172562">
      <w:rPr>
        <w:rFonts w:ascii="Arial" w:eastAsia="Arial" w:hAnsi="Arial" w:cs="Arial"/>
        <w:noProof/>
        <w:color w:val="666666"/>
        <w:sz w:val="16"/>
        <w:szCs w:val="16"/>
        <w:lang w:val="nb-NO"/>
      </w:rPr>
      <w:t>1</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B566" w14:textId="77777777" w:rsidR="00F52AFF" w:rsidRDefault="00F52AFF">
      <w:r>
        <w:separator/>
      </w:r>
    </w:p>
  </w:footnote>
  <w:footnote w:type="continuationSeparator" w:id="0">
    <w:p w14:paraId="6E94959C" w14:textId="77777777" w:rsidR="00F52AFF" w:rsidRDefault="00F5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DCF0" w14:textId="14215EEF" w:rsidR="00DF35E4" w:rsidRPr="00594B33" w:rsidRDefault="00594B33" w:rsidP="00594B33">
    <w:pPr>
      <w:pStyle w:val="Header"/>
    </w:pPr>
    <w:r w:rsidRPr="00594B33">
      <w:rPr>
        <w:noProof/>
      </w:rPr>
      <w:drawing>
        <wp:anchor distT="0" distB="0" distL="114300" distR="114300" simplePos="0" relativeHeight="251660288" behindDoc="0" locked="0" layoutInCell="1" allowOverlap="1" wp14:anchorId="0009A4A1" wp14:editId="56809D9B">
          <wp:simplePos x="0" y="0"/>
          <wp:positionH relativeFrom="column">
            <wp:posOffset>-459740</wp:posOffset>
          </wp:positionH>
          <wp:positionV relativeFrom="paragraph">
            <wp:posOffset>-157480</wp:posOffset>
          </wp:positionV>
          <wp:extent cx="1473200" cy="362585"/>
          <wp:effectExtent l="0" t="0" r="0" b="0"/>
          <wp:wrapSquare wrapText="bothSides"/>
          <wp:docPr id="376769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362585"/>
                  </a:xfrm>
                  <a:prstGeom prst="rect">
                    <a:avLst/>
                  </a:prstGeom>
                  <a:noFill/>
                  <a:ln>
                    <a:noFill/>
                  </a:ln>
                </pic:spPr>
              </pic:pic>
            </a:graphicData>
          </a:graphic>
        </wp:anchor>
      </w:drawing>
    </w:r>
    <w:r w:rsidRPr="00594B33">
      <w:rPr>
        <w:noProof/>
      </w:rPr>
      <w:drawing>
        <wp:anchor distT="0" distB="0" distL="114300" distR="114300" simplePos="0" relativeHeight="251659264" behindDoc="0" locked="0" layoutInCell="1" allowOverlap="1" wp14:anchorId="07F17122" wp14:editId="49820FE3">
          <wp:simplePos x="0" y="0"/>
          <wp:positionH relativeFrom="column">
            <wp:posOffset>4734560</wp:posOffset>
          </wp:positionH>
          <wp:positionV relativeFrom="paragraph">
            <wp:posOffset>-240030</wp:posOffset>
          </wp:positionV>
          <wp:extent cx="1851959" cy="425450"/>
          <wp:effectExtent l="0" t="0" r="0" b="0"/>
          <wp:wrapNone/>
          <wp:docPr id="880280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1959"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D81"/>
    <w:multiLevelType w:val="hybridMultilevel"/>
    <w:tmpl w:val="764227B6"/>
    <w:lvl w:ilvl="0" w:tplc="CBAAD0A0">
      <w:start w:val="1"/>
      <w:numFmt w:val="bullet"/>
      <w:lvlText w:val="•"/>
      <w:lvlJc w:val="left"/>
      <w:pPr>
        <w:ind w:left="480" w:hanging="240"/>
      </w:pPr>
    </w:lvl>
    <w:lvl w:ilvl="1" w:tplc="3E7434B6">
      <w:start w:val="1"/>
      <w:numFmt w:val="bullet"/>
      <w:lvlText w:val="◦"/>
      <w:lvlJc w:val="left"/>
      <w:pPr>
        <w:ind w:left="900" w:hanging="240"/>
      </w:pPr>
    </w:lvl>
    <w:lvl w:ilvl="2" w:tplc="A92C9D44">
      <w:numFmt w:val="decimal"/>
      <w:lvlText w:val=""/>
      <w:lvlJc w:val="left"/>
    </w:lvl>
    <w:lvl w:ilvl="3" w:tplc="D9AAECBC">
      <w:numFmt w:val="decimal"/>
      <w:lvlText w:val=""/>
      <w:lvlJc w:val="left"/>
    </w:lvl>
    <w:lvl w:ilvl="4" w:tplc="8152CA7E">
      <w:numFmt w:val="decimal"/>
      <w:lvlText w:val=""/>
      <w:lvlJc w:val="left"/>
    </w:lvl>
    <w:lvl w:ilvl="5" w:tplc="F438A7B8">
      <w:numFmt w:val="decimal"/>
      <w:lvlText w:val=""/>
      <w:lvlJc w:val="left"/>
    </w:lvl>
    <w:lvl w:ilvl="6" w:tplc="D65E4C64">
      <w:numFmt w:val="decimal"/>
      <w:lvlText w:val=""/>
      <w:lvlJc w:val="left"/>
    </w:lvl>
    <w:lvl w:ilvl="7" w:tplc="0ABAD2E8">
      <w:numFmt w:val="decimal"/>
      <w:lvlText w:val=""/>
      <w:lvlJc w:val="left"/>
    </w:lvl>
    <w:lvl w:ilvl="8" w:tplc="A5AE7244">
      <w:numFmt w:val="decimal"/>
      <w:lvlText w:val=""/>
      <w:lvlJc w:val="left"/>
    </w:lvl>
  </w:abstractNum>
  <w:abstractNum w:abstractNumId="1" w15:restartNumberingAfterBreak="0">
    <w:nsid w:val="31E71C3F"/>
    <w:multiLevelType w:val="hybridMultilevel"/>
    <w:tmpl w:val="B5E81660"/>
    <w:lvl w:ilvl="0" w:tplc="D9A08756">
      <w:start w:val="1"/>
      <w:numFmt w:val="bullet"/>
      <w:lvlText w:val="•"/>
      <w:lvlJc w:val="left"/>
      <w:pPr>
        <w:ind w:left="480" w:hanging="240"/>
      </w:pPr>
    </w:lvl>
    <w:lvl w:ilvl="1" w:tplc="7856FDE0">
      <w:start w:val="1"/>
      <w:numFmt w:val="bullet"/>
      <w:lvlText w:val="◦"/>
      <w:lvlJc w:val="left"/>
      <w:pPr>
        <w:ind w:left="900" w:hanging="240"/>
      </w:pPr>
    </w:lvl>
    <w:lvl w:ilvl="2" w:tplc="0DBA0B46">
      <w:numFmt w:val="decimal"/>
      <w:lvlText w:val=""/>
      <w:lvlJc w:val="left"/>
    </w:lvl>
    <w:lvl w:ilvl="3" w:tplc="00C499B2">
      <w:numFmt w:val="decimal"/>
      <w:lvlText w:val=""/>
      <w:lvlJc w:val="left"/>
    </w:lvl>
    <w:lvl w:ilvl="4" w:tplc="B2FCDED0">
      <w:numFmt w:val="decimal"/>
      <w:lvlText w:val=""/>
      <w:lvlJc w:val="left"/>
    </w:lvl>
    <w:lvl w:ilvl="5" w:tplc="747C5E90">
      <w:numFmt w:val="decimal"/>
      <w:lvlText w:val=""/>
      <w:lvlJc w:val="left"/>
    </w:lvl>
    <w:lvl w:ilvl="6" w:tplc="1DE4F702">
      <w:numFmt w:val="decimal"/>
      <w:lvlText w:val=""/>
      <w:lvlJc w:val="left"/>
    </w:lvl>
    <w:lvl w:ilvl="7" w:tplc="D17C3C7C">
      <w:numFmt w:val="decimal"/>
      <w:lvlText w:val=""/>
      <w:lvlJc w:val="left"/>
    </w:lvl>
    <w:lvl w:ilvl="8" w:tplc="CCCC45BC">
      <w:numFmt w:val="decimal"/>
      <w:lvlText w:val=""/>
      <w:lvlJc w:val="left"/>
    </w:lvl>
  </w:abstractNum>
  <w:abstractNum w:abstractNumId="2" w15:restartNumberingAfterBreak="0">
    <w:nsid w:val="7EFF4618"/>
    <w:multiLevelType w:val="hybridMultilevel"/>
    <w:tmpl w:val="99F4D616"/>
    <w:lvl w:ilvl="0" w:tplc="8354A7CA">
      <w:start w:val="1"/>
      <w:numFmt w:val="bullet"/>
      <w:lvlText w:val="●"/>
      <w:lvlJc w:val="left"/>
      <w:pPr>
        <w:ind w:left="720" w:hanging="360"/>
      </w:pPr>
    </w:lvl>
    <w:lvl w:ilvl="1" w:tplc="7FC40A56">
      <w:start w:val="1"/>
      <w:numFmt w:val="bullet"/>
      <w:lvlText w:val="○"/>
      <w:lvlJc w:val="left"/>
      <w:pPr>
        <w:ind w:left="1440" w:hanging="360"/>
      </w:pPr>
    </w:lvl>
    <w:lvl w:ilvl="2" w:tplc="CC102DBE">
      <w:start w:val="1"/>
      <w:numFmt w:val="bullet"/>
      <w:lvlText w:val="■"/>
      <w:lvlJc w:val="left"/>
      <w:pPr>
        <w:ind w:left="2160" w:hanging="360"/>
      </w:pPr>
    </w:lvl>
    <w:lvl w:ilvl="3" w:tplc="1806112E">
      <w:start w:val="1"/>
      <w:numFmt w:val="bullet"/>
      <w:lvlText w:val="●"/>
      <w:lvlJc w:val="left"/>
      <w:pPr>
        <w:ind w:left="2880" w:hanging="360"/>
      </w:pPr>
    </w:lvl>
    <w:lvl w:ilvl="4" w:tplc="6BACFC00">
      <w:start w:val="1"/>
      <w:numFmt w:val="bullet"/>
      <w:lvlText w:val="○"/>
      <w:lvlJc w:val="left"/>
      <w:pPr>
        <w:ind w:left="3600" w:hanging="360"/>
      </w:pPr>
    </w:lvl>
    <w:lvl w:ilvl="5" w:tplc="56F09A18">
      <w:start w:val="1"/>
      <w:numFmt w:val="bullet"/>
      <w:lvlText w:val="■"/>
      <w:lvlJc w:val="left"/>
      <w:pPr>
        <w:ind w:left="4320" w:hanging="360"/>
      </w:pPr>
    </w:lvl>
    <w:lvl w:ilvl="6" w:tplc="FA402FCE">
      <w:start w:val="1"/>
      <w:numFmt w:val="bullet"/>
      <w:lvlText w:val="●"/>
      <w:lvlJc w:val="left"/>
      <w:pPr>
        <w:ind w:left="5040" w:hanging="360"/>
      </w:pPr>
    </w:lvl>
    <w:lvl w:ilvl="7" w:tplc="37088068">
      <w:start w:val="1"/>
      <w:numFmt w:val="bullet"/>
      <w:lvlText w:val="●"/>
      <w:lvlJc w:val="left"/>
      <w:pPr>
        <w:ind w:left="5760" w:hanging="360"/>
      </w:pPr>
    </w:lvl>
    <w:lvl w:ilvl="8" w:tplc="79FC5E7A">
      <w:start w:val="1"/>
      <w:numFmt w:val="bullet"/>
      <w:lvlText w:val="●"/>
      <w:lvlJc w:val="left"/>
      <w:pPr>
        <w:ind w:left="6480" w:hanging="360"/>
      </w:pPr>
    </w:lvl>
  </w:abstractNum>
  <w:num w:numId="1" w16cid:durableId="885067285">
    <w:abstractNumId w:val="2"/>
    <w:lvlOverride w:ilvl="0">
      <w:startOverride w:val="1"/>
    </w:lvlOverride>
  </w:num>
  <w:num w:numId="2" w16cid:durableId="1484541222">
    <w:abstractNumId w:val="0"/>
    <w:lvlOverride w:ilvl="0">
      <w:startOverride w:val="1"/>
    </w:lvlOverride>
  </w:num>
  <w:num w:numId="3" w16cid:durableId="16864009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5E4"/>
    <w:rsid w:val="00172562"/>
    <w:rsid w:val="00340AE9"/>
    <w:rsid w:val="00594B33"/>
    <w:rsid w:val="00605970"/>
    <w:rsid w:val="00BF3ED5"/>
    <w:rsid w:val="00D457B3"/>
    <w:rsid w:val="00DF35E4"/>
    <w:rsid w:val="00DF725E"/>
    <w:rsid w:val="00E6513E"/>
    <w:rsid w:val="00F52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2984"/>
  <w15:docId w15:val="{9B16DD5E-0E00-4D6F-8F34-BA78D3DB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72562"/>
    <w:pPr>
      <w:tabs>
        <w:tab w:val="center" w:pos="4513"/>
        <w:tab w:val="right" w:pos="9026"/>
      </w:tabs>
    </w:pPr>
  </w:style>
  <w:style w:type="character" w:customStyle="1" w:styleId="HeaderChar">
    <w:name w:val="Header Char"/>
    <w:basedOn w:val="DefaultParagraphFont"/>
    <w:link w:val="Header"/>
    <w:uiPriority w:val="99"/>
    <w:rsid w:val="00172562"/>
  </w:style>
  <w:style w:type="paragraph" w:styleId="Footer">
    <w:name w:val="footer"/>
    <w:basedOn w:val="Normal"/>
    <w:link w:val="FooterChar"/>
    <w:uiPriority w:val="99"/>
    <w:unhideWhenUsed/>
    <w:rsid w:val="00172562"/>
    <w:pPr>
      <w:tabs>
        <w:tab w:val="center" w:pos="4513"/>
        <w:tab w:val="right" w:pos="9026"/>
      </w:tabs>
    </w:pPr>
  </w:style>
  <w:style w:type="character" w:customStyle="1" w:styleId="FooterChar">
    <w:name w:val="Footer Char"/>
    <w:basedOn w:val="DefaultParagraphFont"/>
    <w:link w:val="Footer"/>
    <w:uiPriority w:val="99"/>
    <w:rsid w:val="00172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5584</TotalTime>
  <Pages>5</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Anna Kondakhchyan</cp:lastModifiedBy>
  <cp:revision>6</cp:revision>
  <dcterms:created xsi:type="dcterms:W3CDTF">2026-06-26T10:02:00Z</dcterms:created>
  <dcterms:modified xsi:type="dcterms:W3CDTF">2026-06-30T13:52:00Z</dcterms:modified>
</cp:coreProperties>
</file>