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0F4F" w14:textId="39BBE966" w:rsidR="008A773A" w:rsidRDefault="36339823" w:rsidP="004E2C04">
      <w:pPr>
        <w:pStyle w:val="BodyText"/>
        <w:spacing w:line="276" w:lineRule="auto"/>
        <w:jc w:val="center"/>
        <w:rPr>
          <w:rFonts w:ascii="Calibri" w:hAnsi="Calibri" w:cs="Calibri"/>
          <w:b/>
          <w:bCs/>
          <w:sz w:val="28"/>
          <w:szCs w:val="28"/>
        </w:rPr>
      </w:pPr>
      <w:bookmarkStart w:id="0" w:name="X2f7ece24e8c031c905afeafeeb1e0a3c9f2c8e6"/>
      <w:bookmarkStart w:id="1" w:name="terms-of-reference-tor"/>
      <w:r w:rsidRPr="73BCC5A4">
        <w:rPr>
          <w:rFonts w:ascii="Calibri" w:hAnsi="Calibri" w:cs="Calibri"/>
          <w:b/>
          <w:bCs/>
          <w:sz w:val="28"/>
          <w:szCs w:val="28"/>
        </w:rPr>
        <w:t>CONSULTANCY ON THE DEVELOPMENT OF AN INCLUSIVE HOUSING FINANCE MECHANISM FOR DISPLACEMENT-AFFECTED COMMUNITIES</w:t>
      </w:r>
    </w:p>
    <w:p w14:paraId="7987A45B" w14:textId="538ED42A" w:rsidR="00E94FA5" w:rsidRPr="00E94FA5" w:rsidRDefault="36339823" w:rsidP="73BCC5A4">
      <w:pPr>
        <w:pStyle w:val="BodyText"/>
        <w:jc w:val="center"/>
        <w:rPr>
          <w:rFonts w:ascii="Calibri" w:hAnsi="Calibri" w:cs="Calibri"/>
          <w:i/>
          <w:iCs/>
          <w:sz w:val="22"/>
          <w:szCs w:val="22"/>
        </w:rPr>
      </w:pPr>
      <w:r w:rsidRPr="73BCC5A4">
        <w:rPr>
          <w:rFonts w:ascii="Calibri" w:hAnsi="Calibri" w:cs="Calibri"/>
          <w:i/>
          <w:iCs/>
          <w:sz w:val="22"/>
          <w:szCs w:val="22"/>
        </w:rPr>
        <w:t>Terms of Reference (ToR)</w:t>
      </w:r>
    </w:p>
    <w:p w14:paraId="5D82654E" w14:textId="77777777" w:rsidR="008A773A" w:rsidRPr="004E2C04" w:rsidRDefault="7FF582CC" w:rsidP="004E2C04">
      <w:pPr>
        <w:pStyle w:val="Heading3"/>
        <w:spacing w:line="276" w:lineRule="auto"/>
        <w:jc w:val="both"/>
        <w:rPr>
          <w:rFonts w:ascii="Calibri" w:hAnsi="Calibri" w:cs="Calibri"/>
          <w:b/>
          <w:bCs/>
          <w:color w:val="auto"/>
          <w:sz w:val="22"/>
          <w:szCs w:val="22"/>
        </w:rPr>
      </w:pPr>
      <w:bookmarkStart w:id="2" w:name="background-and-context"/>
      <w:bookmarkEnd w:id="0"/>
      <w:r w:rsidRPr="73BCC5A4">
        <w:rPr>
          <w:rFonts w:ascii="Calibri" w:hAnsi="Calibri" w:cs="Calibri"/>
          <w:b/>
          <w:bCs/>
          <w:color w:val="auto"/>
          <w:sz w:val="22"/>
          <w:szCs w:val="22"/>
        </w:rPr>
        <w:t>1. Background and Context</w:t>
      </w:r>
    </w:p>
    <w:p w14:paraId="6E754297" w14:textId="19D363FB" w:rsidR="008A773A" w:rsidRPr="004E2C04" w:rsidRDefault="7FF582CC" w:rsidP="004E2C04">
      <w:pPr>
        <w:pStyle w:val="FirstParagraph"/>
        <w:spacing w:line="276" w:lineRule="auto"/>
        <w:jc w:val="both"/>
        <w:rPr>
          <w:rFonts w:ascii="Calibri" w:hAnsi="Calibri" w:cs="Calibri"/>
          <w:sz w:val="22"/>
          <w:szCs w:val="22"/>
        </w:rPr>
      </w:pPr>
      <w:r w:rsidRPr="73BCC5A4">
        <w:rPr>
          <w:rFonts w:ascii="Calibri" w:hAnsi="Calibri" w:cs="Calibri"/>
          <w:sz w:val="22"/>
          <w:szCs w:val="22"/>
        </w:rPr>
        <w:t>Nigeria faces a critical housing deficit estimated at over 28 million units, exacerbated by rapid urbanisation, inflationary pressures, and limited access to affordable housing finance. These challenges disproportionately affect internally displaced persons (IDPs) and low-income host communities, many of whom are excluded from formal housing and financial markets due to insecure tenure, informal livelihoods, and lack of credit history.</w:t>
      </w:r>
      <w:r w:rsidRPr="73BCC5A4">
        <w:rPr>
          <w:rFonts w:ascii="Calibri" w:eastAsia="Times New Roman" w:hAnsi="Calibri" w:cs="Calibri"/>
          <w:sz w:val="22"/>
          <w:szCs w:val="22"/>
        </w:rPr>
        <w:t xml:space="preserve"> </w:t>
      </w:r>
    </w:p>
    <w:p w14:paraId="23889238" w14:textId="296A649C" w:rsidR="008A773A" w:rsidRPr="00E94FA5" w:rsidRDefault="7FF582CC" w:rsidP="73BCC5A4">
      <w:pPr>
        <w:pStyle w:val="NormalWeb"/>
        <w:spacing w:beforeAutospacing="0" w:line="276" w:lineRule="auto"/>
        <w:jc w:val="both"/>
        <w:rPr>
          <w:rFonts w:ascii="Calibri" w:hAnsi="Calibri" w:cs="Calibri"/>
          <w:sz w:val="22"/>
          <w:szCs w:val="22"/>
        </w:rPr>
      </w:pPr>
      <w:r w:rsidRPr="73BCC5A4">
        <w:rPr>
          <w:rFonts w:ascii="Calibri" w:hAnsi="Calibri" w:cs="Calibri"/>
          <w:sz w:val="22"/>
          <w:szCs w:val="22"/>
        </w:rPr>
        <w:t>Humanitarian shelter responses have largely focused on temporary solutions, which do not adequately address long-term housing needs or economic inclusion. There is an urgent need for innovative, scalable housing finance mechanisms that bridge humanitarian assistance and development financing, enabling displacement-affected households to access durable, affordable housing while fostering self-reliance and market integration. While government policies recognise their needs, interventions are often underfunded, fragmented, and lack scalability. Funding for IDP housing to date has been largely finite and fragmented. The challenge is a result of the absence of a sustainable financial architecture that can deliver long-term impact. Pure grant-based models are quickly depleted and often fail to incorporate mechanisms that keep housing affordable for households over time. A blended finance approach—leveraging public resources, private investment, and concessional capital—offers a more viable pathway. It creates opportunities to scale housing solutions, reduce costs, and ensure that displaced families have access to durable, affordable shelter that supports both recovery and economic inclusion.</w:t>
      </w:r>
    </w:p>
    <w:p w14:paraId="495E2F75" w14:textId="77777777" w:rsidR="008A773A" w:rsidRPr="004E2C04" w:rsidRDefault="7FF582CC" w:rsidP="004E2C04">
      <w:pPr>
        <w:pStyle w:val="BodyText"/>
        <w:spacing w:line="276" w:lineRule="auto"/>
        <w:jc w:val="both"/>
        <w:rPr>
          <w:rFonts w:ascii="Calibri" w:hAnsi="Calibri" w:cs="Calibri"/>
          <w:sz w:val="22"/>
          <w:szCs w:val="22"/>
        </w:rPr>
      </w:pPr>
      <w:r w:rsidRPr="73BCC5A4">
        <w:rPr>
          <w:rFonts w:ascii="Calibri" w:hAnsi="Calibri" w:cs="Calibri"/>
          <w:sz w:val="22"/>
          <w:szCs w:val="22"/>
        </w:rPr>
        <w:t>The Norwegian Refugee Council (NRC), in partnership with Family Homes Fund Limited (FHFL) and other institutional actors, seeks to pilot a market-driven, blended housing finance approach. This initiative aims to combine public resources, private capital, concessional finance, and innovative housing products to deliver sustainable housing solutions for displacement-affected and low-income communities in Nigeria.</w:t>
      </w:r>
    </w:p>
    <w:p w14:paraId="2B726CDC" w14:textId="77777777" w:rsidR="008A773A" w:rsidRPr="004E2C04" w:rsidRDefault="7FF582CC" w:rsidP="004E2C04">
      <w:pPr>
        <w:pStyle w:val="Heading3"/>
        <w:spacing w:line="276" w:lineRule="auto"/>
        <w:jc w:val="both"/>
        <w:rPr>
          <w:rFonts w:ascii="Calibri" w:hAnsi="Calibri" w:cs="Calibri"/>
          <w:b/>
          <w:bCs/>
          <w:color w:val="auto"/>
          <w:sz w:val="22"/>
          <w:szCs w:val="22"/>
        </w:rPr>
      </w:pPr>
      <w:bookmarkStart w:id="3" w:name="objective-of-the-consultancy"/>
      <w:bookmarkEnd w:id="2"/>
      <w:r w:rsidRPr="73BCC5A4">
        <w:rPr>
          <w:rFonts w:ascii="Calibri" w:hAnsi="Calibri" w:cs="Calibri"/>
          <w:b/>
          <w:bCs/>
          <w:color w:val="auto"/>
          <w:sz w:val="22"/>
          <w:szCs w:val="22"/>
        </w:rPr>
        <w:t>2. Objective of the Consultancy</w:t>
      </w:r>
    </w:p>
    <w:p w14:paraId="5FC6F99B" w14:textId="77777777" w:rsidR="008A773A" w:rsidRPr="004E2C04" w:rsidRDefault="7FF582CC" w:rsidP="004E2C04">
      <w:pPr>
        <w:pStyle w:val="FirstParagraph"/>
        <w:spacing w:line="276" w:lineRule="auto"/>
        <w:jc w:val="both"/>
        <w:rPr>
          <w:rFonts w:ascii="Calibri" w:hAnsi="Calibri" w:cs="Calibri"/>
          <w:sz w:val="22"/>
          <w:szCs w:val="22"/>
        </w:rPr>
      </w:pPr>
      <w:r w:rsidRPr="73BCC5A4">
        <w:rPr>
          <w:rFonts w:ascii="Calibri" w:hAnsi="Calibri" w:cs="Calibri"/>
          <w:sz w:val="22"/>
          <w:szCs w:val="22"/>
        </w:rPr>
        <w:t>The objective of this consultancy is to design and operationalise an inclusive, scalable housing finance mechanism tailored to the needs of displacement-affected and low-income households. The mechanism should leverage blended finance approaches—combining public, private, and concessional capital—to enable access to affordable housing while ensuring financial sustainability, risk mitigation, and replicability across multiple contexts.</w:t>
      </w:r>
    </w:p>
    <w:p w14:paraId="31C70D64" w14:textId="77777777" w:rsidR="008A773A" w:rsidRPr="004E2C04" w:rsidRDefault="7FF582CC" w:rsidP="004E2C04">
      <w:pPr>
        <w:pStyle w:val="Heading3"/>
        <w:spacing w:line="276" w:lineRule="auto"/>
        <w:jc w:val="both"/>
        <w:rPr>
          <w:rFonts w:ascii="Calibri" w:hAnsi="Calibri" w:cs="Calibri"/>
          <w:b/>
          <w:bCs/>
          <w:color w:val="auto"/>
          <w:sz w:val="22"/>
          <w:szCs w:val="22"/>
        </w:rPr>
      </w:pPr>
      <w:bookmarkStart w:id="4" w:name="scope-of-work"/>
      <w:bookmarkEnd w:id="3"/>
      <w:r w:rsidRPr="73BCC5A4">
        <w:rPr>
          <w:rFonts w:ascii="Calibri" w:hAnsi="Calibri" w:cs="Calibri"/>
          <w:b/>
          <w:bCs/>
          <w:color w:val="auto"/>
          <w:sz w:val="22"/>
          <w:szCs w:val="22"/>
        </w:rPr>
        <w:t>3. Scope of Work</w:t>
      </w:r>
    </w:p>
    <w:p w14:paraId="3C5991DD" w14:textId="77777777" w:rsidR="008A773A" w:rsidRPr="004E2C04" w:rsidRDefault="7FF582CC" w:rsidP="004E2C04">
      <w:pPr>
        <w:pStyle w:val="FirstParagraph"/>
        <w:spacing w:line="276" w:lineRule="auto"/>
        <w:jc w:val="both"/>
        <w:rPr>
          <w:rFonts w:ascii="Calibri" w:hAnsi="Calibri" w:cs="Calibri"/>
          <w:sz w:val="22"/>
          <w:szCs w:val="22"/>
        </w:rPr>
      </w:pPr>
      <w:r w:rsidRPr="73BCC5A4">
        <w:rPr>
          <w:rFonts w:ascii="Calibri" w:hAnsi="Calibri" w:cs="Calibri"/>
          <w:sz w:val="22"/>
          <w:szCs w:val="22"/>
        </w:rPr>
        <w:t>The consultant will be responsible for the following tasks:</w:t>
      </w:r>
    </w:p>
    <w:p w14:paraId="533DB1A3" w14:textId="77777777" w:rsidR="008A773A" w:rsidRPr="00EF7D8B" w:rsidRDefault="7FF582CC" w:rsidP="004E2C04">
      <w:pPr>
        <w:pStyle w:val="Heading4"/>
        <w:spacing w:line="276" w:lineRule="auto"/>
        <w:jc w:val="both"/>
        <w:rPr>
          <w:rFonts w:ascii="Calibri" w:hAnsi="Calibri" w:cs="Calibri"/>
          <w:b/>
          <w:bCs/>
          <w:color w:val="000000" w:themeColor="text1"/>
          <w:sz w:val="22"/>
          <w:szCs w:val="22"/>
        </w:rPr>
      </w:pPr>
      <w:bookmarkStart w:id="5" w:name="diagnostic-and-market-assessment"/>
      <w:r w:rsidRPr="00EF7D8B">
        <w:rPr>
          <w:rFonts w:ascii="Calibri" w:hAnsi="Calibri" w:cs="Calibri"/>
          <w:b/>
          <w:bCs/>
          <w:color w:val="000000" w:themeColor="text1"/>
          <w:sz w:val="22"/>
          <w:szCs w:val="22"/>
        </w:rPr>
        <w:lastRenderedPageBreak/>
        <w:t>3.1 Diagnostic and Market Assessment</w:t>
      </w:r>
    </w:p>
    <w:p w14:paraId="00D498B4" w14:textId="77777777" w:rsidR="008A773A" w:rsidRPr="004E2C04" w:rsidRDefault="7FF582CC" w:rsidP="004E2C04">
      <w:pPr>
        <w:pStyle w:val="Compact"/>
        <w:numPr>
          <w:ilvl w:val="0"/>
          <w:numId w:val="2"/>
        </w:numPr>
        <w:spacing w:line="276" w:lineRule="auto"/>
        <w:jc w:val="both"/>
        <w:rPr>
          <w:rFonts w:ascii="Calibri" w:hAnsi="Calibri" w:cs="Calibri"/>
          <w:sz w:val="22"/>
          <w:szCs w:val="22"/>
        </w:rPr>
      </w:pPr>
      <w:r w:rsidRPr="73BCC5A4">
        <w:rPr>
          <w:rFonts w:ascii="Calibri" w:hAnsi="Calibri" w:cs="Calibri"/>
          <w:sz w:val="22"/>
          <w:szCs w:val="22"/>
        </w:rPr>
        <w:t>Analyse existing housing finance systems, affordable housing initiatives, and financial inclusion frameworks relevant to displacement-affected populations in Nigeria.</w:t>
      </w:r>
    </w:p>
    <w:p w14:paraId="76F2E6BD" w14:textId="77777777" w:rsidR="008A773A" w:rsidRPr="004E2C04" w:rsidRDefault="7FF582CC" w:rsidP="004E2C04">
      <w:pPr>
        <w:pStyle w:val="Compact"/>
        <w:numPr>
          <w:ilvl w:val="0"/>
          <w:numId w:val="2"/>
        </w:numPr>
        <w:spacing w:line="276" w:lineRule="auto"/>
        <w:jc w:val="both"/>
        <w:rPr>
          <w:rFonts w:ascii="Calibri" w:hAnsi="Calibri" w:cs="Calibri"/>
          <w:sz w:val="22"/>
          <w:szCs w:val="22"/>
        </w:rPr>
      </w:pPr>
      <w:r w:rsidRPr="73BCC5A4">
        <w:rPr>
          <w:rFonts w:ascii="Calibri" w:hAnsi="Calibri" w:cs="Calibri"/>
          <w:sz w:val="22"/>
          <w:szCs w:val="22"/>
        </w:rPr>
        <w:t>Identify key barriers faced by IDPs and low-income households in accessing housing finance, including tenure insecurity, income volatility, and credit constraints.</w:t>
      </w:r>
    </w:p>
    <w:p w14:paraId="5F8AC716" w14:textId="5E62D2C8" w:rsidR="008A773A" w:rsidRPr="004E2C04" w:rsidRDefault="7FF582CC" w:rsidP="004E2C04">
      <w:pPr>
        <w:pStyle w:val="Compact"/>
        <w:numPr>
          <w:ilvl w:val="0"/>
          <w:numId w:val="2"/>
        </w:numPr>
        <w:spacing w:line="276" w:lineRule="auto"/>
        <w:jc w:val="both"/>
        <w:rPr>
          <w:rFonts w:ascii="Calibri" w:hAnsi="Calibri" w:cs="Calibri"/>
          <w:sz w:val="22"/>
          <w:szCs w:val="22"/>
        </w:rPr>
      </w:pPr>
      <w:r w:rsidRPr="73BCC5A4">
        <w:rPr>
          <w:rFonts w:ascii="Calibri" w:hAnsi="Calibri" w:cs="Calibri"/>
          <w:sz w:val="22"/>
          <w:szCs w:val="22"/>
        </w:rPr>
        <w:t>Review relevant housing policies</w:t>
      </w:r>
      <w:r w:rsidR="0052075A">
        <w:rPr>
          <w:rFonts w:ascii="Calibri" w:hAnsi="Calibri" w:cs="Calibri"/>
          <w:sz w:val="22"/>
          <w:szCs w:val="22"/>
        </w:rPr>
        <w:t>,</w:t>
      </w:r>
      <w:r w:rsidRPr="73BCC5A4">
        <w:rPr>
          <w:rFonts w:ascii="Calibri" w:hAnsi="Calibri" w:cs="Calibri"/>
          <w:sz w:val="22"/>
          <w:szCs w:val="22"/>
        </w:rPr>
        <w:t xml:space="preserve"> land tenure frameworks, and urban development strategies to ensure alignment</w:t>
      </w:r>
      <w:r w:rsidR="68ABD5D6" w:rsidRPr="73BCC5A4">
        <w:rPr>
          <w:rFonts w:ascii="Calibri" w:hAnsi="Calibri" w:cs="Calibri"/>
          <w:sz w:val="22"/>
          <w:szCs w:val="22"/>
        </w:rPr>
        <w:t xml:space="preserve"> and identify </w:t>
      </w:r>
      <w:r w:rsidR="436B079A" w:rsidRPr="73BCC5A4">
        <w:rPr>
          <w:rFonts w:ascii="Calibri" w:hAnsi="Calibri" w:cs="Calibri"/>
          <w:sz w:val="22"/>
          <w:szCs w:val="22"/>
        </w:rPr>
        <w:t xml:space="preserve">any policy </w:t>
      </w:r>
      <w:r w:rsidR="68ABD5D6" w:rsidRPr="73BCC5A4">
        <w:rPr>
          <w:rFonts w:ascii="Calibri" w:hAnsi="Calibri" w:cs="Calibri"/>
          <w:sz w:val="22"/>
          <w:szCs w:val="22"/>
        </w:rPr>
        <w:t>gaps</w:t>
      </w:r>
      <w:r w:rsidR="394B92A8" w:rsidRPr="73BCC5A4">
        <w:rPr>
          <w:rFonts w:ascii="Calibri" w:hAnsi="Calibri" w:cs="Calibri"/>
          <w:sz w:val="22"/>
          <w:szCs w:val="22"/>
        </w:rPr>
        <w:t xml:space="preserve"> or barriers</w:t>
      </w:r>
      <w:r w:rsidR="68ABD5D6" w:rsidRPr="73BCC5A4">
        <w:rPr>
          <w:rFonts w:ascii="Calibri" w:hAnsi="Calibri" w:cs="Calibri"/>
          <w:sz w:val="22"/>
          <w:szCs w:val="22"/>
        </w:rPr>
        <w:t xml:space="preserve"> related to affordable housing</w:t>
      </w:r>
      <w:r w:rsidRPr="73BCC5A4">
        <w:rPr>
          <w:rFonts w:ascii="Calibri" w:hAnsi="Calibri" w:cs="Calibri"/>
          <w:sz w:val="22"/>
          <w:szCs w:val="22"/>
        </w:rPr>
        <w:t>.</w:t>
      </w:r>
    </w:p>
    <w:p w14:paraId="6A04880F" w14:textId="77777777" w:rsidR="008A773A" w:rsidRPr="00EF7D8B" w:rsidRDefault="7FF582CC" w:rsidP="004E2C04">
      <w:pPr>
        <w:pStyle w:val="Heading4"/>
        <w:spacing w:line="276" w:lineRule="auto"/>
        <w:jc w:val="both"/>
        <w:rPr>
          <w:rFonts w:ascii="Calibri" w:hAnsi="Calibri" w:cs="Calibri"/>
          <w:b/>
          <w:bCs/>
          <w:color w:val="000000" w:themeColor="text1"/>
          <w:sz w:val="22"/>
          <w:szCs w:val="22"/>
        </w:rPr>
      </w:pPr>
      <w:bookmarkStart w:id="6" w:name="design-of-housing-finance-mechanism"/>
      <w:bookmarkEnd w:id="5"/>
      <w:r w:rsidRPr="00EF7D8B">
        <w:rPr>
          <w:rFonts w:ascii="Calibri" w:hAnsi="Calibri" w:cs="Calibri"/>
          <w:b/>
          <w:bCs/>
          <w:color w:val="000000" w:themeColor="text1"/>
          <w:sz w:val="22"/>
          <w:szCs w:val="22"/>
        </w:rPr>
        <w:t>3.2 Design of Housing Finance Mechanism</w:t>
      </w:r>
    </w:p>
    <w:p w14:paraId="4AE484F6" w14:textId="77777777" w:rsidR="008A773A" w:rsidRPr="004E2C04" w:rsidRDefault="7FF582CC" w:rsidP="004E2C04">
      <w:pPr>
        <w:pStyle w:val="Compact"/>
        <w:numPr>
          <w:ilvl w:val="0"/>
          <w:numId w:val="3"/>
        </w:numPr>
        <w:spacing w:line="276" w:lineRule="auto"/>
        <w:jc w:val="both"/>
        <w:rPr>
          <w:rFonts w:ascii="Calibri" w:hAnsi="Calibri" w:cs="Calibri"/>
          <w:sz w:val="22"/>
          <w:szCs w:val="22"/>
        </w:rPr>
      </w:pPr>
      <w:r w:rsidRPr="73BCC5A4">
        <w:rPr>
          <w:rFonts w:ascii="Calibri" w:hAnsi="Calibri" w:cs="Calibri"/>
          <w:sz w:val="22"/>
          <w:szCs w:val="22"/>
        </w:rPr>
        <w:t>Design an inclusive housing finance model incorporating appropriate instruments such as rent-to-own schemes, micro-mortgages, incremental housing loans, or blended rental models.</w:t>
      </w:r>
    </w:p>
    <w:p w14:paraId="3BCD9F38" w14:textId="77777777" w:rsidR="008A773A" w:rsidRPr="004E2C04" w:rsidRDefault="7FF582CC" w:rsidP="004E2C04">
      <w:pPr>
        <w:pStyle w:val="Compact"/>
        <w:numPr>
          <w:ilvl w:val="0"/>
          <w:numId w:val="3"/>
        </w:numPr>
        <w:spacing w:line="276" w:lineRule="auto"/>
        <w:jc w:val="both"/>
        <w:rPr>
          <w:rFonts w:ascii="Calibri" w:hAnsi="Calibri" w:cs="Calibri"/>
          <w:sz w:val="22"/>
          <w:szCs w:val="22"/>
        </w:rPr>
      </w:pPr>
      <w:r w:rsidRPr="73BCC5A4">
        <w:rPr>
          <w:rFonts w:ascii="Calibri" w:hAnsi="Calibri" w:cs="Calibri"/>
          <w:sz w:val="22"/>
          <w:szCs w:val="22"/>
        </w:rPr>
        <w:t>Propose de-risking mechanisms (e.g. guarantees, subsidies, first-loss capital) to incentivise private sector and financial institution participation.</w:t>
      </w:r>
    </w:p>
    <w:p w14:paraId="5A61F69E" w14:textId="77777777" w:rsidR="008A773A" w:rsidRPr="004E2C04" w:rsidRDefault="7FF582CC" w:rsidP="004E2C04">
      <w:pPr>
        <w:pStyle w:val="Compact"/>
        <w:numPr>
          <w:ilvl w:val="0"/>
          <w:numId w:val="3"/>
        </w:numPr>
        <w:spacing w:line="276" w:lineRule="auto"/>
        <w:jc w:val="both"/>
        <w:rPr>
          <w:rFonts w:ascii="Calibri" w:hAnsi="Calibri" w:cs="Calibri"/>
          <w:sz w:val="22"/>
          <w:szCs w:val="22"/>
        </w:rPr>
      </w:pPr>
      <w:r w:rsidRPr="73BCC5A4">
        <w:rPr>
          <w:rFonts w:ascii="Calibri" w:hAnsi="Calibri" w:cs="Calibri"/>
          <w:sz w:val="22"/>
          <w:szCs w:val="22"/>
        </w:rPr>
        <w:t>Define eligibility criteria, affordability thresholds, repayment structures, and consumer protection measures suitable for displacement-affected households.</w:t>
      </w:r>
    </w:p>
    <w:p w14:paraId="7B3EEBFA" w14:textId="77777777" w:rsidR="008A773A" w:rsidRPr="00EF7D8B" w:rsidRDefault="7FF582CC" w:rsidP="004E2C04">
      <w:pPr>
        <w:pStyle w:val="Heading4"/>
        <w:spacing w:line="276" w:lineRule="auto"/>
        <w:jc w:val="both"/>
        <w:rPr>
          <w:rFonts w:ascii="Calibri" w:hAnsi="Calibri" w:cs="Calibri"/>
          <w:b/>
          <w:bCs/>
          <w:color w:val="000000" w:themeColor="text1"/>
          <w:sz w:val="22"/>
          <w:szCs w:val="22"/>
        </w:rPr>
      </w:pPr>
      <w:bookmarkStart w:id="7" w:name="partnership-and-institutional-framework"/>
      <w:bookmarkEnd w:id="6"/>
      <w:r w:rsidRPr="00EF7D8B">
        <w:rPr>
          <w:rFonts w:ascii="Calibri" w:hAnsi="Calibri" w:cs="Calibri"/>
          <w:b/>
          <w:bCs/>
          <w:color w:val="000000" w:themeColor="text1"/>
          <w:sz w:val="22"/>
          <w:szCs w:val="22"/>
        </w:rPr>
        <w:t>3.3 Partnership and Institutional Framework</w:t>
      </w:r>
    </w:p>
    <w:p w14:paraId="37EFDB32" w14:textId="77777777" w:rsidR="008A773A" w:rsidRPr="004E2C04" w:rsidRDefault="7FF582CC" w:rsidP="004E2C04">
      <w:pPr>
        <w:pStyle w:val="Compact"/>
        <w:numPr>
          <w:ilvl w:val="0"/>
          <w:numId w:val="4"/>
        </w:numPr>
        <w:spacing w:line="276" w:lineRule="auto"/>
        <w:jc w:val="both"/>
        <w:rPr>
          <w:rFonts w:ascii="Calibri" w:hAnsi="Calibri" w:cs="Calibri"/>
          <w:sz w:val="22"/>
          <w:szCs w:val="22"/>
        </w:rPr>
      </w:pPr>
      <w:r w:rsidRPr="73BCC5A4">
        <w:rPr>
          <w:rFonts w:ascii="Calibri" w:hAnsi="Calibri" w:cs="Calibri"/>
          <w:sz w:val="22"/>
          <w:szCs w:val="22"/>
        </w:rPr>
        <w:t>Map and define roles of key stakeholders including FHFL, financial institutions, private developers, state housing authorities, and development partners.</w:t>
      </w:r>
    </w:p>
    <w:p w14:paraId="07B8CCEF" w14:textId="77777777" w:rsidR="008A773A" w:rsidRPr="004E2C04" w:rsidRDefault="7FF582CC" w:rsidP="004E2C04">
      <w:pPr>
        <w:pStyle w:val="Compact"/>
        <w:numPr>
          <w:ilvl w:val="0"/>
          <w:numId w:val="4"/>
        </w:numPr>
        <w:spacing w:line="276" w:lineRule="auto"/>
        <w:jc w:val="both"/>
        <w:rPr>
          <w:rFonts w:ascii="Calibri" w:hAnsi="Calibri" w:cs="Calibri"/>
          <w:sz w:val="22"/>
          <w:szCs w:val="22"/>
        </w:rPr>
      </w:pPr>
      <w:r w:rsidRPr="73BCC5A4">
        <w:rPr>
          <w:rFonts w:ascii="Calibri" w:hAnsi="Calibri" w:cs="Calibri"/>
          <w:sz w:val="22"/>
          <w:szCs w:val="22"/>
        </w:rPr>
        <w:t>Develop a partnership framework aligned with national housing strategies and state-level urban development plans.</w:t>
      </w:r>
    </w:p>
    <w:p w14:paraId="579A900A" w14:textId="77777777" w:rsidR="008A773A" w:rsidRPr="004E2C04" w:rsidRDefault="7FF582CC" w:rsidP="004E2C04">
      <w:pPr>
        <w:pStyle w:val="Compact"/>
        <w:numPr>
          <w:ilvl w:val="0"/>
          <w:numId w:val="4"/>
        </w:numPr>
        <w:spacing w:line="276" w:lineRule="auto"/>
        <w:jc w:val="both"/>
        <w:rPr>
          <w:rFonts w:ascii="Calibri" w:hAnsi="Calibri" w:cs="Calibri"/>
          <w:sz w:val="22"/>
          <w:szCs w:val="22"/>
        </w:rPr>
      </w:pPr>
      <w:r w:rsidRPr="73BCC5A4">
        <w:rPr>
          <w:rFonts w:ascii="Calibri" w:hAnsi="Calibri" w:cs="Calibri"/>
          <w:sz w:val="22"/>
          <w:szCs w:val="22"/>
        </w:rPr>
        <w:t>Identify opportunities for leveraging Development Finance Institutions (DFIs), impact investors, and donor funding.</w:t>
      </w:r>
    </w:p>
    <w:p w14:paraId="5F94B7B5" w14:textId="77777777" w:rsidR="008A773A" w:rsidRPr="00EF7D8B" w:rsidRDefault="7FF582CC" w:rsidP="004E2C04">
      <w:pPr>
        <w:pStyle w:val="Heading4"/>
        <w:spacing w:line="276" w:lineRule="auto"/>
        <w:jc w:val="both"/>
        <w:rPr>
          <w:rFonts w:ascii="Calibri" w:hAnsi="Calibri" w:cs="Calibri"/>
          <w:b/>
          <w:bCs/>
          <w:color w:val="000000" w:themeColor="text1"/>
          <w:sz w:val="22"/>
          <w:szCs w:val="22"/>
        </w:rPr>
      </w:pPr>
      <w:bookmarkStart w:id="8" w:name="pilot-design-and-operationalisation"/>
      <w:bookmarkEnd w:id="7"/>
      <w:r w:rsidRPr="00EF7D8B">
        <w:rPr>
          <w:rFonts w:ascii="Calibri" w:hAnsi="Calibri" w:cs="Calibri"/>
          <w:b/>
          <w:bCs/>
          <w:color w:val="000000" w:themeColor="text1"/>
          <w:sz w:val="22"/>
          <w:szCs w:val="22"/>
        </w:rPr>
        <w:t>3.4 Pilot Design and Operationalisation</w:t>
      </w:r>
    </w:p>
    <w:p w14:paraId="6758800E" w14:textId="77777777" w:rsidR="008A773A" w:rsidRPr="004E2C04" w:rsidRDefault="7FF582CC" w:rsidP="004E2C04">
      <w:pPr>
        <w:pStyle w:val="Compact"/>
        <w:numPr>
          <w:ilvl w:val="0"/>
          <w:numId w:val="5"/>
        </w:numPr>
        <w:spacing w:line="276" w:lineRule="auto"/>
        <w:jc w:val="both"/>
        <w:rPr>
          <w:rFonts w:ascii="Calibri" w:hAnsi="Calibri" w:cs="Calibri"/>
          <w:sz w:val="22"/>
          <w:szCs w:val="22"/>
        </w:rPr>
      </w:pPr>
      <w:r w:rsidRPr="73BCC5A4">
        <w:rPr>
          <w:rFonts w:ascii="Calibri" w:hAnsi="Calibri" w:cs="Calibri"/>
          <w:sz w:val="22"/>
          <w:szCs w:val="22"/>
        </w:rPr>
        <w:t>Develop a detailed, investment-ready pilot concept note outlining objectives, theory of change, implementation modalities, governance arrangements, and financial structure.</w:t>
      </w:r>
    </w:p>
    <w:p w14:paraId="4935891A" w14:textId="77777777" w:rsidR="008A773A" w:rsidRPr="004E2C04" w:rsidRDefault="7FF582CC" w:rsidP="004E2C04">
      <w:pPr>
        <w:pStyle w:val="Compact"/>
        <w:numPr>
          <w:ilvl w:val="0"/>
          <w:numId w:val="5"/>
        </w:numPr>
        <w:spacing w:line="276" w:lineRule="auto"/>
        <w:jc w:val="both"/>
        <w:rPr>
          <w:rFonts w:ascii="Calibri" w:hAnsi="Calibri" w:cs="Calibri"/>
          <w:sz w:val="22"/>
          <w:szCs w:val="22"/>
        </w:rPr>
      </w:pPr>
      <w:r w:rsidRPr="73BCC5A4">
        <w:rPr>
          <w:rFonts w:ascii="Calibri" w:hAnsi="Calibri" w:cs="Calibri"/>
          <w:sz w:val="22"/>
          <w:szCs w:val="22"/>
        </w:rPr>
        <w:t>Support the development of an implementation roadmap, including risk management, monitoring indicators, and sustainability pathways.</w:t>
      </w:r>
    </w:p>
    <w:p w14:paraId="25D9997E" w14:textId="77777777" w:rsidR="008A773A" w:rsidRPr="004E2C04" w:rsidRDefault="7FF582CC" w:rsidP="004E2C04">
      <w:pPr>
        <w:pStyle w:val="Compact"/>
        <w:numPr>
          <w:ilvl w:val="0"/>
          <w:numId w:val="5"/>
        </w:numPr>
        <w:spacing w:line="276" w:lineRule="auto"/>
        <w:jc w:val="both"/>
        <w:rPr>
          <w:rFonts w:ascii="Calibri" w:hAnsi="Calibri" w:cs="Calibri"/>
          <w:sz w:val="22"/>
          <w:szCs w:val="22"/>
        </w:rPr>
      </w:pPr>
      <w:r w:rsidRPr="73BCC5A4">
        <w:rPr>
          <w:rFonts w:ascii="Calibri" w:hAnsi="Calibri" w:cs="Calibri"/>
          <w:sz w:val="22"/>
          <w:szCs w:val="22"/>
        </w:rPr>
        <w:t>Propose mechanisms for scaling, refinancing, and reinvestment to enable replication across additional states or regions.</w:t>
      </w:r>
    </w:p>
    <w:p w14:paraId="27E23198" w14:textId="77777777" w:rsidR="008A773A" w:rsidRPr="00EF7D8B" w:rsidRDefault="7FF582CC" w:rsidP="004E2C04">
      <w:pPr>
        <w:pStyle w:val="Heading4"/>
        <w:spacing w:line="276" w:lineRule="auto"/>
        <w:jc w:val="both"/>
        <w:rPr>
          <w:rFonts w:ascii="Calibri" w:hAnsi="Calibri" w:cs="Calibri"/>
          <w:b/>
          <w:bCs/>
          <w:color w:val="000000" w:themeColor="text1"/>
          <w:sz w:val="22"/>
          <w:szCs w:val="22"/>
        </w:rPr>
      </w:pPr>
      <w:bookmarkStart w:id="9" w:name="stakeholder-engagement-and-validation"/>
      <w:bookmarkEnd w:id="8"/>
      <w:r w:rsidRPr="00EF7D8B">
        <w:rPr>
          <w:rFonts w:ascii="Calibri" w:hAnsi="Calibri" w:cs="Calibri"/>
          <w:b/>
          <w:bCs/>
          <w:color w:val="000000" w:themeColor="text1"/>
          <w:sz w:val="22"/>
          <w:szCs w:val="22"/>
        </w:rPr>
        <w:t>3.5 Stakeholder Engagement and Validation</w:t>
      </w:r>
    </w:p>
    <w:p w14:paraId="046CBF4B" w14:textId="79092101" w:rsidR="3245AAD6" w:rsidRDefault="3245AAD6" w:rsidP="73BCC5A4">
      <w:pPr>
        <w:pStyle w:val="Compact"/>
        <w:numPr>
          <w:ilvl w:val="0"/>
          <w:numId w:val="6"/>
        </w:numPr>
        <w:spacing w:line="276" w:lineRule="auto"/>
        <w:jc w:val="both"/>
        <w:rPr>
          <w:rFonts w:ascii="Calibri" w:hAnsi="Calibri" w:cs="Calibri"/>
          <w:sz w:val="22"/>
          <w:szCs w:val="22"/>
        </w:rPr>
      </w:pPr>
      <w:r w:rsidRPr="73BCC5A4">
        <w:rPr>
          <w:rFonts w:ascii="Calibri" w:hAnsi="Calibri" w:cs="Calibri"/>
          <w:sz w:val="22"/>
          <w:szCs w:val="22"/>
        </w:rPr>
        <w:t>Develop key advocacy points to influence government or institutional policy towards incentivis</w:t>
      </w:r>
      <w:r w:rsidR="288F7E04" w:rsidRPr="73BCC5A4">
        <w:rPr>
          <w:rFonts w:ascii="Calibri" w:hAnsi="Calibri" w:cs="Calibri"/>
          <w:sz w:val="22"/>
          <w:szCs w:val="22"/>
        </w:rPr>
        <w:t xml:space="preserve">ing affordable housing. </w:t>
      </w:r>
    </w:p>
    <w:p w14:paraId="2B955E40" w14:textId="77777777" w:rsidR="008A773A" w:rsidRPr="004E2C04" w:rsidRDefault="7FF582CC" w:rsidP="004E2C04">
      <w:pPr>
        <w:pStyle w:val="Compact"/>
        <w:numPr>
          <w:ilvl w:val="0"/>
          <w:numId w:val="6"/>
        </w:numPr>
        <w:spacing w:line="276" w:lineRule="auto"/>
        <w:jc w:val="both"/>
        <w:rPr>
          <w:rFonts w:ascii="Calibri" w:hAnsi="Calibri" w:cs="Calibri"/>
          <w:sz w:val="22"/>
          <w:szCs w:val="22"/>
        </w:rPr>
      </w:pPr>
      <w:r w:rsidRPr="73BCC5A4">
        <w:rPr>
          <w:rFonts w:ascii="Calibri" w:hAnsi="Calibri" w:cs="Calibri"/>
          <w:sz w:val="22"/>
          <w:szCs w:val="22"/>
        </w:rPr>
        <w:t>Facilitate consultations and validation workshops with government counterparts, private sector actors, financial institutions, and development partners.</w:t>
      </w:r>
    </w:p>
    <w:p w14:paraId="1C4D8269" w14:textId="77777777" w:rsidR="008A773A" w:rsidRPr="004E2C04" w:rsidRDefault="7FF582CC" w:rsidP="004E2C04">
      <w:pPr>
        <w:pStyle w:val="Compact"/>
        <w:numPr>
          <w:ilvl w:val="0"/>
          <w:numId w:val="6"/>
        </w:numPr>
        <w:spacing w:line="276" w:lineRule="auto"/>
        <w:jc w:val="both"/>
        <w:rPr>
          <w:rFonts w:ascii="Calibri" w:hAnsi="Calibri" w:cs="Calibri"/>
          <w:sz w:val="22"/>
          <w:szCs w:val="22"/>
        </w:rPr>
      </w:pPr>
      <w:r w:rsidRPr="73BCC5A4">
        <w:rPr>
          <w:rFonts w:ascii="Calibri" w:hAnsi="Calibri" w:cs="Calibri"/>
          <w:sz w:val="22"/>
          <w:szCs w:val="22"/>
        </w:rPr>
        <w:t>Support the organisation of a stakeholder roundtable or knowledge-sharing event to present the proposed model and mobilise interest and commitment.</w:t>
      </w:r>
    </w:p>
    <w:p w14:paraId="208AFF1D" w14:textId="77777777" w:rsidR="008A773A" w:rsidRPr="004E2C04" w:rsidRDefault="7FF582CC" w:rsidP="004E2C04">
      <w:pPr>
        <w:pStyle w:val="Heading3"/>
        <w:spacing w:line="276" w:lineRule="auto"/>
        <w:jc w:val="both"/>
        <w:rPr>
          <w:rFonts w:ascii="Calibri" w:hAnsi="Calibri" w:cs="Calibri"/>
          <w:b/>
          <w:bCs/>
          <w:color w:val="auto"/>
          <w:sz w:val="22"/>
          <w:szCs w:val="22"/>
        </w:rPr>
      </w:pPr>
      <w:bookmarkStart w:id="10" w:name="deliverables"/>
      <w:bookmarkEnd w:id="4"/>
      <w:bookmarkEnd w:id="9"/>
      <w:r w:rsidRPr="73BCC5A4">
        <w:rPr>
          <w:rFonts w:ascii="Calibri" w:hAnsi="Calibri" w:cs="Calibri"/>
          <w:b/>
          <w:bCs/>
          <w:color w:val="auto"/>
          <w:sz w:val="22"/>
          <w:szCs w:val="22"/>
        </w:rPr>
        <w:lastRenderedPageBreak/>
        <w:t>4. Deliverables</w:t>
      </w:r>
    </w:p>
    <w:p w14:paraId="0F69AF17" w14:textId="77777777" w:rsidR="008A773A" w:rsidRPr="004E2C04" w:rsidRDefault="7FF582CC" w:rsidP="004E2C04">
      <w:pPr>
        <w:pStyle w:val="FirstParagraph"/>
        <w:spacing w:line="276" w:lineRule="auto"/>
        <w:jc w:val="both"/>
        <w:rPr>
          <w:rFonts w:ascii="Calibri" w:hAnsi="Calibri" w:cs="Calibri"/>
          <w:sz w:val="22"/>
          <w:szCs w:val="22"/>
        </w:rPr>
      </w:pPr>
      <w:r w:rsidRPr="73BCC5A4">
        <w:rPr>
          <w:rFonts w:ascii="Calibri" w:hAnsi="Calibri" w:cs="Calibri"/>
          <w:sz w:val="22"/>
          <w:szCs w:val="22"/>
        </w:rPr>
        <w:t>The consultant is expected to deliver the following outputs:</w:t>
      </w:r>
    </w:p>
    <w:p w14:paraId="646EB7A1" w14:textId="77B477A3" w:rsidR="008A773A" w:rsidRPr="004E2C04" w:rsidRDefault="7FF582CC" w:rsidP="004E2C04">
      <w:pPr>
        <w:pStyle w:val="Compact"/>
        <w:numPr>
          <w:ilvl w:val="0"/>
          <w:numId w:val="7"/>
        </w:numPr>
        <w:spacing w:line="276" w:lineRule="auto"/>
        <w:jc w:val="both"/>
        <w:rPr>
          <w:rFonts w:ascii="Calibri" w:hAnsi="Calibri" w:cs="Calibri"/>
          <w:sz w:val="22"/>
          <w:szCs w:val="22"/>
        </w:rPr>
      </w:pPr>
      <w:r w:rsidRPr="73BCC5A4">
        <w:rPr>
          <w:rFonts w:ascii="Calibri" w:hAnsi="Calibri" w:cs="Calibri"/>
          <w:b/>
          <w:bCs/>
          <w:sz w:val="22"/>
          <w:szCs w:val="22"/>
        </w:rPr>
        <w:t>Housing Finance Diagnostic and Options Paper</w:t>
      </w:r>
      <w:r w:rsidRPr="73BCC5A4">
        <w:rPr>
          <w:rFonts w:ascii="Calibri" w:hAnsi="Calibri" w:cs="Calibri"/>
          <w:sz w:val="22"/>
          <w:szCs w:val="22"/>
        </w:rPr>
        <w:t xml:space="preserve"> – Assessment of existing systems, constraints,</w:t>
      </w:r>
      <w:r w:rsidR="568536A1" w:rsidRPr="73BCC5A4">
        <w:rPr>
          <w:rFonts w:ascii="Calibri" w:hAnsi="Calibri" w:cs="Calibri"/>
          <w:sz w:val="22"/>
          <w:szCs w:val="22"/>
        </w:rPr>
        <w:t xml:space="preserve"> gaps,</w:t>
      </w:r>
      <w:r w:rsidRPr="73BCC5A4">
        <w:rPr>
          <w:rFonts w:ascii="Calibri" w:hAnsi="Calibri" w:cs="Calibri"/>
          <w:sz w:val="22"/>
          <w:szCs w:val="22"/>
        </w:rPr>
        <w:t xml:space="preserve"> and viable housing finance options for displacement-affected communities.</w:t>
      </w:r>
    </w:p>
    <w:p w14:paraId="06879720" w14:textId="77777777" w:rsidR="008A773A" w:rsidRPr="004E2C04" w:rsidRDefault="7FF582CC" w:rsidP="004E2C04">
      <w:pPr>
        <w:pStyle w:val="Compact"/>
        <w:numPr>
          <w:ilvl w:val="0"/>
          <w:numId w:val="7"/>
        </w:numPr>
        <w:spacing w:line="276" w:lineRule="auto"/>
        <w:jc w:val="both"/>
        <w:rPr>
          <w:rFonts w:ascii="Calibri" w:hAnsi="Calibri" w:cs="Calibri"/>
          <w:sz w:val="22"/>
          <w:szCs w:val="22"/>
        </w:rPr>
      </w:pPr>
      <w:r w:rsidRPr="73BCC5A4">
        <w:rPr>
          <w:rFonts w:ascii="Calibri" w:hAnsi="Calibri" w:cs="Calibri"/>
          <w:b/>
          <w:bCs/>
          <w:sz w:val="22"/>
          <w:szCs w:val="22"/>
        </w:rPr>
        <w:t>Blended Housing Finance Framework</w:t>
      </w:r>
      <w:r w:rsidRPr="73BCC5A4">
        <w:rPr>
          <w:rFonts w:ascii="Calibri" w:hAnsi="Calibri" w:cs="Calibri"/>
          <w:sz w:val="22"/>
          <w:szCs w:val="22"/>
        </w:rPr>
        <w:t xml:space="preserve"> – A practical framework detailing the proposed housing finance mechanism, instruments, partnership roles, and operational considerations.</w:t>
      </w:r>
    </w:p>
    <w:p w14:paraId="1ABD4EDD" w14:textId="77777777" w:rsidR="008A773A" w:rsidRPr="004E2C04" w:rsidRDefault="7FF582CC" w:rsidP="004E2C04">
      <w:pPr>
        <w:pStyle w:val="Compact"/>
        <w:numPr>
          <w:ilvl w:val="0"/>
          <w:numId w:val="7"/>
        </w:numPr>
        <w:spacing w:line="276" w:lineRule="auto"/>
        <w:jc w:val="both"/>
        <w:rPr>
          <w:rFonts w:ascii="Calibri" w:hAnsi="Calibri" w:cs="Calibri"/>
          <w:sz w:val="22"/>
          <w:szCs w:val="22"/>
        </w:rPr>
      </w:pPr>
      <w:r w:rsidRPr="73BCC5A4">
        <w:rPr>
          <w:rFonts w:ascii="Calibri" w:hAnsi="Calibri" w:cs="Calibri"/>
          <w:b/>
          <w:bCs/>
          <w:sz w:val="22"/>
          <w:szCs w:val="22"/>
        </w:rPr>
        <w:t>Investment-Ready Pilot Concept Note</w:t>
      </w:r>
      <w:r w:rsidRPr="73BCC5A4">
        <w:rPr>
          <w:rFonts w:ascii="Calibri" w:hAnsi="Calibri" w:cs="Calibri"/>
          <w:sz w:val="22"/>
          <w:szCs w:val="22"/>
        </w:rPr>
        <w:t xml:space="preserve"> – A comprehensive concept </w:t>
      </w:r>
      <w:proofErr w:type="gramStart"/>
      <w:r w:rsidRPr="73BCC5A4">
        <w:rPr>
          <w:rFonts w:ascii="Calibri" w:hAnsi="Calibri" w:cs="Calibri"/>
          <w:sz w:val="22"/>
          <w:szCs w:val="22"/>
        </w:rPr>
        <w:t>note</w:t>
      </w:r>
      <w:proofErr w:type="gramEnd"/>
      <w:r w:rsidRPr="73BCC5A4">
        <w:rPr>
          <w:rFonts w:ascii="Calibri" w:hAnsi="Calibri" w:cs="Calibri"/>
          <w:sz w:val="22"/>
          <w:szCs w:val="22"/>
        </w:rPr>
        <w:t xml:space="preserve"> including theory of change, financial model, implementation plan, and pathways for scale.</w:t>
      </w:r>
    </w:p>
    <w:p w14:paraId="6B873C84" w14:textId="77777777" w:rsidR="008A773A" w:rsidRPr="004E2C04" w:rsidRDefault="7FF582CC" w:rsidP="004E2C04">
      <w:pPr>
        <w:pStyle w:val="Compact"/>
        <w:numPr>
          <w:ilvl w:val="0"/>
          <w:numId w:val="7"/>
        </w:numPr>
        <w:spacing w:line="276" w:lineRule="auto"/>
        <w:jc w:val="both"/>
        <w:rPr>
          <w:rFonts w:ascii="Calibri" w:hAnsi="Calibri" w:cs="Calibri"/>
          <w:sz w:val="22"/>
          <w:szCs w:val="22"/>
        </w:rPr>
      </w:pPr>
      <w:r w:rsidRPr="73BCC5A4">
        <w:rPr>
          <w:rFonts w:ascii="Calibri" w:hAnsi="Calibri" w:cs="Calibri"/>
          <w:b/>
          <w:bCs/>
          <w:sz w:val="22"/>
          <w:szCs w:val="22"/>
        </w:rPr>
        <w:t>Partnership and Resource Mobilisation Matrix</w:t>
      </w:r>
      <w:r w:rsidRPr="73BCC5A4">
        <w:rPr>
          <w:rFonts w:ascii="Calibri" w:hAnsi="Calibri" w:cs="Calibri"/>
          <w:sz w:val="22"/>
          <w:szCs w:val="22"/>
        </w:rPr>
        <w:t xml:space="preserve"> – Mapping of stakeholders, financing sources, and collaboration opportunities.</w:t>
      </w:r>
    </w:p>
    <w:p w14:paraId="3E2971B0" w14:textId="32A04BE3" w:rsidR="008A773A" w:rsidRPr="004E2C04" w:rsidRDefault="7FF582CC" w:rsidP="004E2C04">
      <w:pPr>
        <w:pStyle w:val="Compact"/>
        <w:numPr>
          <w:ilvl w:val="0"/>
          <w:numId w:val="7"/>
        </w:numPr>
        <w:spacing w:line="276" w:lineRule="auto"/>
        <w:jc w:val="both"/>
        <w:rPr>
          <w:rFonts w:ascii="Calibri" w:hAnsi="Calibri" w:cs="Calibri"/>
          <w:sz w:val="22"/>
          <w:szCs w:val="22"/>
        </w:rPr>
      </w:pPr>
      <w:r w:rsidRPr="73BCC5A4">
        <w:rPr>
          <w:rFonts w:ascii="Calibri" w:hAnsi="Calibri" w:cs="Calibri"/>
          <w:b/>
          <w:bCs/>
          <w:sz w:val="22"/>
          <w:szCs w:val="22"/>
        </w:rPr>
        <w:t>Stakeholder Engagement and Validation Report</w:t>
      </w:r>
      <w:r w:rsidRPr="73BCC5A4">
        <w:rPr>
          <w:rFonts w:ascii="Calibri" w:hAnsi="Calibri" w:cs="Calibri"/>
          <w:sz w:val="22"/>
          <w:szCs w:val="22"/>
        </w:rPr>
        <w:t xml:space="preserve"> – Summary of consultations, feedback, and agreed refinements</w:t>
      </w:r>
      <w:r w:rsidR="78BA32DD" w:rsidRPr="73BCC5A4">
        <w:rPr>
          <w:rFonts w:ascii="Calibri" w:hAnsi="Calibri" w:cs="Calibri"/>
          <w:sz w:val="22"/>
          <w:szCs w:val="22"/>
        </w:rPr>
        <w:t xml:space="preserve"> and key advocacy points</w:t>
      </w:r>
      <w:r w:rsidRPr="73BCC5A4">
        <w:rPr>
          <w:rFonts w:ascii="Calibri" w:hAnsi="Calibri" w:cs="Calibri"/>
          <w:sz w:val="22"/>
          <w:szCs w:val="22"/>
        </w:rPr>
        <w:t>.</w:t>
      </w:r>
    </w:p>
    <w:p w14:paraId="56FB4FC4" w14:textId="77777777" w:rsidR="008A773A" w:rsidRPr="004E2C04" w:rsidRDefault="7FF582CC" w:rsidP="004E2C04">
      <w:pPr>
        <w:pStyle w:val="Compact"/>
        <w:numPr>
          <w:ilvl w:val="0"/>
          <w:numId w:val="7"/>
        </w:numPr>
        <w:spacing w:line="276" w:lineRule="auto"/>
        <w:jc w:val="both"/>
        <w:rPr>
          <w:rFonts w:ascii="Calibri" w:hAnsi="Calibri" w:cs="Calibri"/>
          <w:sz w:val="22"/>
          <w:szCs w:val="22"/>
        </w:rPr>
      </w:pPr>
      <w:r w:rsidRPr="73BCC5A4">
        <w:rPr>
          <w:rFonts w:ascii="Calibri" w:hAnsi="Calibri" w:cs="Calibri"/>
          <w:b/>
          <w:bCs/>
          <w:sz w:val="22"/>
          <w:szCs w:val="22"/>
        </w:rPr>
        <w:t>Final Concept Note and Presentation Deck</w:t>
      </w:r>
      <w:r w:rsidRPr="73BCC5A4">
        <w:rPr>
          <w:rFonts w:ascii="Calibri" w:hAnsi="Calibri" w:cs="Calibri"/>
          <w:sz w:val="22"/>
          <w:szCs w:val="22"/>
        </w:rPr>
        <w:t xml:space="preserve"> – Validated documents aligned with donor, investor, and institutional requirements.</w:t>
      </w:r>
    </w:p>
    <w:p w14:paraId="06DAAD01" w14:textId="77777777" w:rsidR="008A773A" w:rsidRPr="004E2C04" w:rsidRDefault="7FF582CC" w:rsidP="004E2C04">
      <w:pPr>
        <w:pStyle w:val="Heading3"/>
        <w:spacing w:line="276" w:lineRule="auto"/>
        <w:jc w:val="both"/>
        <w:rPr>
          <w:rFonts w:ascii="Calibri" w:hAnsi="Calibri" w:cs="Calibri"/>
          <w:b/>
          <w:bCs/>
          <w:color w:val="auto"/>
          <w:sz w:val="22"/>
          <w:szCs w:val="22"/>
        </w:rPr>
      </w:pPr>
      <w:bookmarkStart w:id="11" w:name="duration-and-duty-station"/>
      <w:bookmarkEnd w:id="10"/>
      <w:r w:rsidRPr="73BCC5A4">
        <w:rPr>
          <w:rFonts w:ascii="Calibri" w:hAnsi="Calibri" w:cs="Calibri"/>
          <w:b/>
          <w:bCs/>
          <w:color w:val="auto"/>
          <w:sz w:val="22"/>
          <w:szCs w:val="22"/>
        </w:rPr>
        <w:t>5. Duration and Duty Station</w:t>
      </w:r>
    </w:p>
    <w:p w14:paraId="0E2BADD3" w14:textId="5979D71A" w:rsidR="008A773A" w:rsidRPr="004E2C04" w:rsidRDefault="7FF582CC" w:rsidP="004E2C04">
      <w:pPr>
        <w:pStyle w:val="Compact"/>
        <w:numPr>
          <w:ilvl w:val="0"/>
          <w:numId w:val="8"/>
        </w:numPr>
        <w:spacing w:line="276" w:lineRule="auto"/>
        <w:jc w:val="both"/>
        <w:rPr>
          <w:rFonts w:ascii="Calibri" w:hAnsi="Calibri" w:cs="Calibri"/>
          <w:sz w:val="22"/>
          <w:szCs w:val="22"/>
        </w:rPr>
      </w:pPr>
      <w:r w:rsidRPr="73BCC5A4">
        <w:rPr>
          <w:rFonts w:ascii="Calibri" w:hAnsi="Calibri" w:cs="Calibri"/>
          <w:sz w:val="22"/>
          <w:szCs w:val="22"/>
        </w:rPr>
        <w:t xml:space="preserve">Duration: Up to </w:t>
      </w:r>
      <w:r w:rsidR="000F6400">
        <w:rPr>
          <w:rFonts w:ascii="Calibri" w:hAnsi="Calibri" w:cs="Calibri"/>
          <w:sz w:val="22"/>
          <w:szCs w:val="22"/>
        </w:rPr>
        <w:t>4</w:t>
      </w:r>
      <w:r w:rsidRPr="73BCC5A4">
        <w:rPr>
          <w:rFonts w:ascii="Calibri" w:hAnsi="Calibri" w:cs="Calibri"/>
          <w:sz w:val="22"/>
          <w:szCs w:val="22"/>
        </w:rPr>
        <w:t xml:space="preserve"> months</w:t>
      </w:r>
    </w:p>
    <w:p w14:paraId="019A1856" w14:textId="62B6B5F1" w:rsidR="008A773A" w:rsidRPr="004E2C04" w:rsidRDefault="7FF582CC" w:rsidP="004E2C04">
      <w:pPr>
        <w:pStyle w:val="Compact"/>
        <w:numPr>
          <w:ilvl w:val="0"/>
          <w:numId w:val="8"/>
        </w:numPr>
        <w:spacing w:line="276" w:lineRule="auto"/>
        <w:jc w:val="both"/>
        <w:rPr>
          <w:rFonts w:ascii="Calibri" w:hAnsi="Calibri" w:cs="Calibri"/>
          <w:sz w:val="22"/>
          <w:szCs w:val="22"/>
        </w:rPr>
      </w:pPr>
      <w:r w:rsidRPr="73BCC5A4">
        <w:rPr>
          <w:rFonts w:ascii="Calibri" w:hAnsi="Calibri" w:cs="Calibri"/>
          <w:sz w:val="22"/>
          <w:szCs w:val="22"/>
        </w:rPr>
        <w:t>Duty Station: Abuja, Nigeria (with possible travel to pilot locations as required)</w:t>
      </w:r>
    </w:p>
    <w:p w14:paraId="0FA43F5C" w14:textId="77777777" w:rsidR="008A773A" w:rsidRPr="004E2C04" w:rsidRDefault="7FF582CC" w:rsidP="004E2C04">
      <w:pPr>
        <w:pStyle w:val="Heading3"/>
        <w:spacing w:line="276" w:lineRule="auto"/>
        <w:jc w:val="both"/>
        <w:rPr>
          <w:rFonts w:ascii="Calibri" w:hAnsi="Calibri" w:cs="Calibri"/>
          <w:b/>
          <w:bCs/>
          <w:color w:val="auto"/>
          <w:sz w:val="22"/>
          <w:szCs w:val="22"/>
        </w:rPr>
      </w:pPr>
      <w:bookmarkStart w:id="12" w:name="reporting-and-supervision"/>
      <w:bookmarkEnd w:id="11"/>
      <w:r w:rsidRPr="73BCC5A4">
        <w:rPr>
          <w:rFonts w:ascii="Calibri" w:hAnsi="Calibri" w:cs="Calibri"/>
          <w:b/>
          <w:bCs/>
          <w:color w:val="auto"/>
          <w:sz w:val="22"/>
          <w:szCs w:val="22"/>
        </w:rPr>
        <w:t>6. Reporting and Supervision</w:t>
      </w:r>
    </w:p>
    <w:p w14:paraId="2B1F7508" w14:textId="77777777" w:rsidR="008A773A" w:rsidRPr="004E2C04" w:rsidRDefault="7FF582CC" w:rsidP="004E2C04">
      <w:pPr>
        <w:pStyle w:val="FirstParagraph"/>
        <w:spacing w:line="276" w:lineRule="auto"/>
        <w:jc w:val="both"/>
        <w:rPr>
          <w:rFonts w:ascii="Calibri" w:hAnsi="Calibri" w:cs="Calibri"/>
          <w:sz w:val="22"/>
          <w:szCs w:val="22"/>
        </w:rPr>
      </w:pPr>
      <w:r w:rsidRPr="73BCC5A4">
        <w:rPr>
          <w:rFonts w:ascii="Calibri" w:hAnsi="Calibri" w:cs="Calibri"/>
          <w:sz w:val="22"/>
          <w:szCs w:val="22"/>
        </w:rPr>
        <w:t>The consultant will report to the Head of Programmes, NRC Nigeria, and work closely with NRC Shelter &amp; Settlements teams, FHFL, and relevant partners. Regular progress updates and review meetings will be required.</w:t>
      </w:r>
    </w:p>
    <w:p w14:paraId="612787C6" w14:textId="77777777" w:rsidR="008A773A" w:rsidRPr="004E2C04" w:rsidRDefault="7FF582CC" w:rsidP="004E2C04">
      <w:pPr>
        <w:pStyle w:val="Heading3"/>
        <w:spacing w:line="276" w:lineRule="auto"/>
        <w:jc w:val="both"/>
        <w:rPr>
          <w:rFonts w:ascii="Calibri" w:hAnsi="Calibri" w:cs="Calibri"/>
          <w:b/>
          <w:bCs/>
          <w:color w:val="auto"/>
          <w:sz w:val="22"/>
          <w:szCs w:val="22"/>
        </w:rPr>
      </w:pPr>
      <w:bookmarkStart w:id="13" w:name="required-qualifications-and-experience"/>
      <w:bookmarkEnd w:id="12"/>
      <w:r w:rsidRPr="73BCC5A4">
        <w:rPr>
          <w:rFonts w:ascii="Calibri" w:hAnsi="Calibri" w:cs="Calibri"/>
          <w:b/>
          <w:bCs/>
          <w:color w:val="auto"/>
          <w:sz w:val="22"/>
          <w:szCs w:val="22"/>
        </w:rPr>
        <w:t>7. Required Qualifications and Experience</w:t>
      </w:r>
    </w:p>
    <w:p w14:paraId="679749EE" w14:textId="77777777" w:rsidR="004E2C04" w:rsidRDefault="7FF582CC" w:rsidP="004E2C04">
      <w:pPr>
        <w:pStyle w:val="FirstParagraph"/>
        <w:numPr>
          <w:ilvl w:val="0"/>
          <w:numId w:val="9"/>
        </w:numPr>
        <w:spacing w:after="0" w:line="276" w:lineRule="auto"/>
        <w:jc w:val="both"/>
        <w:rPr>
          <w:rFonts w:ascii="Calibri" w:hAnsi="Calibri" w:cs="Calibri"/>
          <w:sz w:val="22"/>
          <w:szCs w:val="22"/>
        </w:rPr>
      </w:pPr>
      <w:r w:rsidRPr="73BCC5A4">
        <w:rPr>
          <w:rFonts w:ascii="Calibri" w:hAnsi="Calibri" w:cs="Calibri"/>
          <w:b/>
          <w:bCs/>
          <w:sz w:val="22"/>
          <w:szCs w:val="22"/>
        </w:rPr>
        <w:t>Education:</w:t>
      </w:r>
    </w:p>
    <w:p w14:paraId="3B3942AB" w14:textId="77777777" w:rsidR="004E2C04" w:rsidRDefault="7FF582CC" w:rsidP="004E2C04">
      <w:pPr>
        <w:pStyle w:val="FirstParagraph"/>
        <w:numPr>
          <w:ilvl w:val="1"/>
          <w:numId w:val="9"/>
        </w:numPr>
        <w:spacing w:before="0" w:after="0" w:line="276" w:lineRule="auto"/>
        <w:jc w:val="both"/>
        <w:rPr>
          <w:rFonts w:ascii="Calibri" w:hAnsi="Calibri" w:cs="Calibri"/>
          <w:sz w:val="22"/>
          <w:szCs w:val="22"/>
        </w:rPr>
      </w:pPr>
      <w:proofErr w:type="gramStart"/>
      <w:r w:rsidRPr="73BCC5A4">
        <w:rPr>
          <w:rFonts w:ascii="Calibri" w:hAnsi="Calibri" w:cs="Calibri"/>
          <w:sz w:val="22"/>
          <w:szCs w:val="22"/>
        </w:rPr>
        <w:t>Master’s degree in Urban Planning</w:t>
      </w:r>
      <w:proofErr w:type="gramEnd"/>
      <w:r w:rsidRPr="73BCC5A4">
        <w:rPr>
          <w:rFonts w:ascii="Calibri" w:hAnsi="Calibri" w:cs="Calibri"/>
          <w:sz w:val="22"/>
          <w:szCs w:val="22"/>
        </w:rPr>
        <w:t xml:space="preserve">, Housing Studies, Architecture, Civil/Construction Engineering, Development Finance, or a related field. </w:t>
      </w:r>
    </w:p>
    <w:p w14:paraId="1FC7D2CF" w14:textId="30800B2B" w:rsidR="004E2C04" w:rsidRDefault="7FF582CC" w:rsidP="004E2C04">
      <w:pPr>
        <w:pStyle w:val="FirstParagraph"/>
        <w:numPr>
          <w:ilvl w:val="1"/>
          <w:numId w:val="9"/>
        </w:numPr>
        <w:spacing w:before="0" w:after="0" w:line="276" w:lineRule="auto"/>
        <w:jc w:val="both"/>
        <w:rPr>
          <w:rFonts w:ascii="Calibri" w:hAnsi="Calibri" w:cs="Calibri"/>
          <w:sz w:val="22"/>
          <w:szCs w:val="22"/>
        </w:rPr>
      </w:pPr>
      <w:r w:rsidRPr="73BCC5A4">
        <w:rPr>
          <w:rFonts w:ascii="Calibri" w:hAnsi="Calibri" w:cs="Calibri"/>
          <w:sz w:val="22"/>
          <w:szCs w:val="22"/>
        </w:rPr>
        <w:t>Additional training in housing finance, project finance, or public–private partnerships is an asset.</w:t>
      </w:r>
    </w:p>
    <w:p w14:paraId="5A6E7B77" w14:textId="77777777" w:rsidR="004E2C04" w:rsidRDefault="7FF582CC" w:rsidP="004E2C04">
      <w:pPr>
        <w:pStyle w:val="FirstParagraph"/>
        <w:numPr>
          <w:ilvl w:val="0"/>
          <w:numId w:val="9"/>
        </w:numPr>
        <w:spacing w:after="0" w:line="276" w:lineRule="auto"/>
        <w:jc w:val="both"/>
        <w:rPr>
          <w:rFonts w:ascii="Calibri" w:hAnsi="Calibri" w:cs="Calibri"/>
          <w:sz w:val="22"/>
          <w:szCs w:val="22"/>
        </w:rPr>
      </w:pPr>
      <w:r w:rsidRPr="73BCC5A4">
        <w:rPr>
          <w:rFonts w:ascii="Calibri" w:hAnsi="Calibri" w:cs="Calibri"/>
          <w:b/>
          <w:bCs/>
          <w:sz w:val="22"/>
          <w:szCs w:val="22"/>
        </w:rPr>
        <w:t>Experience:</w:t>
      </w:r>
      <w:r w:rsidRPr="73BCC5A4">
        <w:rPr>
          <w:rFonts w:ascii="Calibri" w:hAnsi="Calibri" w:cs="Calibri"/>
          <w:sz w:val="22"/>
          <w:szCs w:val="22"/>
        </w:rPr>
        <w:t xml:space="preserve"> </w:t>
      </w:r>
    </w:p>
    <w:p w14:paraId="20937B8B" w14:textId="168A8073" w:rsidR="004E2C04" w:rsidRDefault="7FF582CC" w:rsidP="004E2C04">
      <w:pPr>
        <w:pStyle w:val="FirstParagraph"/>
        <w:numPr>
          <w:ilvl w:val="1"/>
          <w:numId w:val="9"/>
        </w:numPr>
        <w:spacing w:before="0" w:after="0" w:line="276" w:lineRule="auto"/>
        <w:jc w:val="both"/>
        <w:rPr>
          <w:rFonts w:ascii="Calibri" w:hAnsi="Calibri" w:cs="Calibri"/>
          <w:sz w:val="22"/>
          <w:szCs w:val="22"/>
        </w:rPr>
      </w:pPr>
      <w:r w:rsidRPr="73BCC5A4">
        <w:rPr>
          <w:rFonts w:ascii="Calibri" w:hAnsi="Calibri" w:cs="Calibri"/>
          <w:sz w:val="22"/>
          <w:szCs w:val="22"/>
        </w:rPr>
        <w:t xml:space="preserve">At least 8–10 years of professional experience in affordable housing development, housing finance, urban upgrading, or related fields. </w:t>
      </w:r>
    </w:p>
    <w:p w14:paraId="6E9770E7" w14:textId="77777777" w:rsidR="004E2C04" w:rsidRDefault="7FF582CC" w:rsidP="004E2C04">
      <w:pPr>
        <w:pStyle w:val="FirstParagraph"/>
        <w:numPr>
          <w:ilvl w:val="1"/>
          <w:numId w:val="9"/>
        </w:numPr>
        <w:spacing w:before="0" w:after="0" w:line="276" w:lineRule="auto"/>
        <w:jc w:val="both"/>
        <w:rPr>
          <w:rFonts w:ascii="Calibri" w:hAnsi="Calibri" w:cs="Calibri"/>
          <w:sz w:val="22"/>
          <w:szCs w:val="22"/>
        </w:rPr>
      </w:pPr>
      <w:r w:rsidRPr="73BCC5A4">
        <w:rPr>
          <w:rFonts w:ascii="Calibri" w:hAnsi="Calibri" w:cs="Calibri"/>
          <w:sz w:val="22"/>
          <w:szCs w:val="22"/>
        </w:rPr>
        <w:t xml:space="preserve">Demonstrated experience designing or implementing housing finance mechanisms such as micro-mortgages, rent-to-own schemes, or incremental housing models. </w:t>
      </w:r>
    </w:p>
    <w:p w14:paraId="1D74031C" w14:textId="77777777" w:rsidR="004E2C04" w:rsidRDefault="7FF582CC" w:rsidP="004E2C04">
      <w:pPr>
        <w:pStyle w:val="FirstParagraph"/>
        <w:numPr>
          <w:ilvl w:val="1"/>
          <w:numId w:val="9"/>
        </w:numPr>
        <w:spacing w:before="0" w:after="0" w:line="276" w:lineRule="auto"/>
        <w:jc w:val="both"/>
        <w:rPr>
          <w:rFonts w:ascii="Calibri" w:hAnsi="Calibri" w:cs="Calibri"/>
          <w:sz w:val="22"/>
          <w:szCs w:val="22"/>
        </w:rPr>
      </w:pPr>
      <w:r w:rsidRPr="73BCC5A4">
        <w:rPr>
          <w:rFonts w:ascii="Calibri" w:hAnsi="Calibri" w:cs="Calibri"/>
          <w:sz w:val="22"/>
          <w:szCs w:val="22"/>
        </w:rPr>
        <w:lastRenderedPageBreak/>
        <w:t xml:space="preserve">Strong understanding of blended finance, PPPs, and engagement with DFIs or impact investors. - Proven experience working with government housing authorities, financial institutions, and private developers. </w:t>
      </w:r>
    </w:p>
    <w:p w14:paraId="7BBAC875" w14:textId="1EEA4C0B" w:rsidR="008A773A" w:rsidRPr="004E2C04" w:rsidRDefault="7FF582CC" w:rsidP="004E2C04">
      <w:pPr>
        <w:pStyle w:val="FirstParagraph"/>
        <w:numPr>
          <w:ilvl w:val="1"/>
          <w:numId w:val="9"/>
        </w:numPr>
        <w:spacing w:before="0" w:after="0" w:line="276" w:lineRule="auto"/>
        <w:jc w:val="both"/>
        <w:rPr>
          <w:rFonts w:ascii="Calibri" w:hAnsi="Calibri" w:cs="Calibri"/>
          <w:sz w:val="22"/>
          <w:szCs w:val="22"/>
        </w:rPr>
      </w:pPr>
      <w:r w:rsidRPr="73BCC5A4">
        <w:rPr>
          <w:rFonts w:ascii="Calibri" w:hAnsi="Calibri" w:cs="Calibri"/>
          <w:sz w:val="22"/>
          <w:szCs w:val="22"/>
        </w:rPr>
        <w:t>Experience in displacement, post-conflict, or low-income urban contexts is highly desirable.</w:t>
      </w:r>
    </w:p>
    <w:p w14:paraId="6CBD5DF9" w14:textId="77777777" w:rsidR="004E2C04" w:rsidRDefault="7FF582CC" w:rsidP="004E2C04">
      <w:pPr>
        <w:pStyle w:val="BodyText"/>
        <w:numPr>
          <w:ilvl w:val="0"/>
          <w:numId w:val="9"/>
        </w:numPr>
        <w:spacing w:after="0" w:line="276" w:lineRule="auto"/>
        <w:jc w:val="both"/>
        <w:rPr>
          <w:rFonts w:ascii="Calibri" w:hAnsi="Calibri" w:cs="Calibri"/>
          <w:sz w:val="22"/>
          <w:szCs w:val="22"/>
        </w:rPr>
      </w:pPr>
      <w:r w:rsidRPr="73BCC5A4">
        <w:rPr>
          <w:rFonts w:ascii="Calibri" w:hAnsi="Calibri" w:cs="Calibri"/>
          <w:b/>
          <w:bCs/>
          <w:sz w:val="22"/>
          <w:szCs w:val="22"/>
        </w:rPr>
        <w:t>Skills and Competencies:</w:t>
      </w:r>
    </w:p>
    <w:p w14:paraId="5273B925" w14:textId="77777777" w:rsidR="004E2C04" w:rsidRDefault="7FF582CC" w:rsidP="004E2C04">
      <w:pPr>
        <w:pStyle w:val="BodyText"/>
        <w:numPr>
          <w:ilvl w:val="1"/>
          <w:numId w:val="9"/>
        </w:numPr>
        <w:spacing w:before="0" w:after="0" w:line="276" w:lineRule="auto"/>
        <w:jc w:val="both"/>
        <w:rPr>
          <w:rFonts w:ascii="Calibri" w:hAnsi="Calibri" w:cs="Calibri"/>
          <w:sz w:val="22"/>
          <w:szCs w:val="22"/>
        </w:rPr>
      </w:pPr>
      <w:r w:rsidRPr="73BCC5A4">
        <w:rPr>
          <w:rFonts w:ascii="Calibri" w:hAnsi="Calibri" w:cs="Calibri"/>
          <w:sz w:val="22"/>
          <w:szCs w:val="22"/>
        </w:rPr>
        <w:t xml:space="preserve">Strong analytical and financial modelling skills. </w:t>
      </w:r>
    </w:p>
    <w:p w14:paraId="6687031E" w14:textId="77777777" w:rsidR="004E2C04" w:rsidRDefault="7FF582CC" w:rsidP="004E2C04">
      <w:pPr>
        <w:pStyle w:val="BodyText"/>
        <w:numPr>
          <w:ilvl w:val="1"/>
          <w:numId w:val="9"/>
        </w:numPr>
        <w:spacing w:before="0" w:after="0" w:line="276" w:lineRule="auto"/>
        <w:jc w:val="both"/>
        <w:rPr>
          <w:rFonts w:ascii="Calibri" w:hAnsi="Calibri" w:cs="Calibri"/>
          <w:sz w:val="22"/>
          <w:szCs w:val="22"/>
        </w:rPr>
      </w:pPr>
      <w:r w:rsidRPr="73BCC5A4">
        <w:rPr>
          <w:rFonts w:ascii="Calibri" w:hAnsi="Calibri" w:cs="Calibri"/>
          <w:sz w:val="22"/>
          <w:szCs w:val="22"/>
        </w:rPr>
        <w:t xml:space="preserve">Excellent stakeholder coordination and facilitation abilities. </w:t>
      </w:r>
    </w:p>
    <w:p w14:paraId="164FA6B4" w14:textId="77777777" w:rsidR="004E2C04" w:rsidRDefault="7FF582CC" w:rsidP="004E2C04">
      <w:pPr>
        <w:pStyle w:val="BodyText"/>
        <w:numPr>
          <w:ilvl w:val="1"/>
          <w:numId w:val="9"/>
        </w:numPr>
        <w:spacing w:before="0" w:after="0" w:line="276" w:lineRule="auto"/>
        <w:jc w:val="both"/>
        <w:rPr>
          <w:rFonts w:ascii="Calibri" w:hAnsi="Calibri" w:cs="Calibri"/>
          <w:sz w:val="22"/>
          <w:szCs w:val="22"/>
        </w:rPr>
      </w:pPr>
      <w:r w:rsidRPr="73BCC5A4">
        <w:rPr>
          <w:rFonts w:ascii="Calibri" w:hAnsi="Calibri" w:cs="Calibri"/>
          <w:sz w:val="22"/>
          <w:szCs w:val="22"/>
        </w:rPr>
        <w:t xml:space="preserve">Ability to translate complex technical concepts into practical, scalable solutions. </w:t>
      </w:r>
    </w:p>
    <w:p w14:paraId="3D6B87C8" w14:textId="4ABB80F9" w:rsidR="008A773A" w:rsidRPr="004E2C04" w:rsidRDefault="7FF582CC" w:rsidP="004E2C04">
      <w:pPr>
        <w:pStyle w:val="BodyText"/>
        <w:numPr>
          <w:ilvl w:val="1"/>
          <w:numId w:val="9"/>
        </w:numPr>
        <w:spacing w:before="0" w:after="0" w:line="276" w:lineRule="auto"/>
        <w:jc w:val="both"/>
        <w:rPr>
          <w:rFonts w:ascii="Calibri" w:hAnsi="Calibri" w:cs="Calibri"/>
          <w:sz w:val="22"/>
          <w:szCs w:val="22"/>
        </w:rPr>
      </w:pPr>
      <w:r w:rsidRPr="73BCC5A4">
        <w:rPr>
          <w:rFonts w:ascii="Calibri" w:hAnsi="Calibri" w:cs="Calibri"/>
          <w:sz w:val="22"/>
          <w:szCs w:val="22"/>
        </w:rPr>
        <w:t>Strong writing, presentation, and communication skills in English.</w:t>
      </w:r>
    </w:p>
    <w:p w14:paraId="6144DC38" w14:textId="77777777" w:rsidR="008A773A" w:rsidRPr="004E2C04" w:rsidRDefault="7FF582CC" w:rsidP="004E2C04">
      <w:pPr>
        <w:pStyle w:val="Heading3"/>
        <w:spacing w:line="276" w:lineRule="auto"/>
        <w:jc w:val="both"/>
        <w:rPr>
          <w:rFonts w:ascii="Calibri" w:hAnsi="Calibri" w:cs="Calibri"/>
          <w:b/>
          <w:bCs/>
          <w:color w:val="auto"/>
          <w:sz w:val="22"/>
          <w:szCs w:val="22"/>
        </w:rPr>
      </w:pPr>
      <w:bookmarkStart w:id="14" w:name="ethical-considerations"/>
      <w:bookmarkEnd w:id="13"/>
      <w:r w:rsidRPr="73BCC5A4">
        <w:rPr>
          <w:rFonts w:ascii="Calibri" w:hAnsi="Calibri" w:cs="Calibri"/>
          <w:b/>
          <w:bCs/>
          <w:color w:val="auto"/>
          <w:sz w:val="22"/>
          <w:szCs w:val="22"/>
        </w:rPr>
        <w:t>8. Ethical Considerations</w:t>
      </w:r>
    </w:p>
    <w:p w14:paraId="76813072" w14:textId="4AC2C5B4" w:rsidR="008A773A" w:rsidRPr="004E2C04" w:rsidRDefault="7FF582CC" w:rsidP="004E2C04">
      <w:pPr>
        <w:pStyle w:val="FirstParagraph"/>
        <w:spacing w:line="276" w:lineRule="auto"/>
        <w:jc w:val="both"/>
        <w:rPr>
          <w:rFonts w:ascii="Calibri" w:hAnsi="Calibri" w:cs="Calibri"/>
          <w:sz w:val="22"/>
          <w:szCs w:val="22"/>
        </w:rPr>
      </w:pPr>
      <w:r w:rsidRPr="73BCC5A4">
        <w:rPr>
          <w:rFonts w:ascii="Calibri" w:hAnsi="Calibri" w:cs="Calibri"/>
          <w:sz w:val="22"/>
          <w:szCs w:val="22"/>
        </w:rPr>
        <w:t>All work under this consultancy must adhere to NRC’s principles, including accountability to affected populations, do-no-harm, protection mainstreaming, and data confidentiality.</w:t>
      </w:r>
    </w:p>
    <w:p w14:paraId="552C73A2" w14:textId="77777777" w:rsidR="008A773A" w:rsidRPr="004E2C04" w:rsidRDefault="7FF582CC" w:rsidP="004E2C04">
      <w:pPr>
        <w:pStyle w:val="Heading3"/>
        <w:spacing w:line="276" w:lineRule="auto"/>
        <w:jc w:val="both"/>
        <w:rPr>
          <w:rFonts w:ascii="Calibri" w:hAnsi="Calibri" w:cs="Calibri"/>
          <w:b/>
          <w:bCs/>
          <w:color w:val="auto"/>
          <w:sz w:val="22"/>
          <w:szCs w:val="22"/>
        </w:rPr>
      </w:pPr>
      <w:bookmarkStart w:id="15" w:name="application-process"/>
      <w:bookmarkEnd w:id="14"/>
      <w:r w:rsidRPr="73BCC5A4">
        <w:rPr>
          <w:rFonts w:ascii="Calibri" w:hAnsi="Calibri" w:cs="Calibri"/>
          <w:b/>
          <w:bCs/>
          <w:color w:val="auto"/>
          <w:sz w:val="22"/>
          <w:szCs w:val="22"/>
        </w:rPr>
        <w:t>9. Application Process</w:t>
      </w:r>
    </w:p>
    <w:p w14:paraId="255CEF2F" w14:textId="5E3AB100" w:rsidR="008A773A" w:rsidRDefault="7FF582CC" w:rsidP="004E2C04">
      <w:pPr>
        <w:pStyle w:val="FirstParagraph"/>
        <w:spacing w:line="276" w:lineRule="auto"/>
        <w:jc w:val="both"/>
        <w:rPr>
          <w:rFonts w:ascii="Calibri" w:hAnsi="Calibri" w:cs="Calibri"/>
          <w:sz w:val="22"/>
          <w:szCs w:val="22"/>
        </w:rPr>
      </w:pPr>
      <w:r w:rsidRPr="73BCC5A4">
        <w:rPr>
          <w:rFonts w:ascii="Calibri" w:hAnsi="Calibri" w:cs="Calibri"/>
          <w:sz w:val="22"/>
          <w:szCs w:val="22"/>
        </w:rPr>
        <w:t xml:space="preserve">Interested consultants should submit a technical proposal outlining their approach and methodology, </w:t>
      </w:r>
      <w:r w:rsidR="00804E67">
        <w:rPr>
          <w:rFonts w:ascii="Calibri" w:hAnsi="Calibri" w:cs="Calibri"/>
          <w:sz w:val="22"/>
          <w:szCs w:val="22"/>
        </w:rPr>
        <w:t>proposed time frame,</w:t>
      </w:r>
      <w:r w:rsidRPr="73BCC5A4">
        <w:rPr>
          <w:rFonts w:ascii="Calibri" w:hAnsi="Calibri" w:cs="Calibri"/>
          <w:sz w:val="22"/>
          <w:szCs w:val="22"/>
        </w:rPr>
        <w:t xml:space="preserve"> financial proposal, and a CV demonstrating relevant experience.</w:t>
      </w:r>
      <w:bookmarkEnd w:id="1"/>
      <w:bookmarkEnd w:id="15"/>
    </w:p>
    <w:p w14:paraId="565C8013" w14:textId="77777777" w:rsidR="00804E67" w:rsidRPr="00804E67" w:rsidRDefault="00804E67" w:rsidP="00804E67">
      <w:pPr>
        <w:spacing w:after="0"/>
        <w:rPr>
          <w:rFonts w:ascii="Calibri" w:hAnsi="Calibri" w:cs="Calibri"/>
          <w:sz w:val="22"/>
          <w:szCs w:val="22"/>
        </w:rPr>
      </w:pPr>
      <w:r w:rsidRPr="00804E67">
        <w:rPr>
          <w:rFonts w:ascii="Calibri" w:hAnsi="Calibri" w:cs="Calibri"/>
          <w:sz w:val="22"/>
          <w:szCs w:val="22"/>
        </w:rPr>
        <w:t>For consulting firms, all the above documents must be submitted as part of the application.</w:t>
      </w:r>
    </w:p>
    <w:p w14:paraId="35AA355D" w14:textId="77777777" w:rsidR="00804E67" w:rsidRPr="00804E67" w:rsidRDefault="00804E67" w:rsidP="00804E67">
      <w:pPr>
        <w:pStyle w:val="ListParagraph"/>
        <w:numPr>
          <w:ilvl w:val="0"/>
          <w:numId w:val="11"/>
        </w:numPr>
        <w:spacing w:after="0"/>
        <w:contextualSpacing/>
        <w:rPr>
          <w:rFonts w:ascii="Calibri" w:hAnsi="Calibri" w:cs="Calibri"/>
          <w:sz w:val="22"/>
        </w:rPr>
      </w:pPr>
      <w:r w:rsidRPr="00804E67">
        <w:rPr>
          <w:rFonts w:ascii="Calibri" w:hAnsi="Calibri" w:cs="Calibri"/>
          <w:sz w:val="22"/>
          <w:lang w:eastAsia="en-GB"/>
        </w:rPr>
        <w:t>Certified copy of certificate of registration/Incorporation</w:t>
      </w:r>
    </w:p>
    <w:p w14:paraId="5DCE102B" w14:textId="77777777" w:rsidR="00804E67" w:rsidRDefault="00804E67" w:rsidP="00804E67">
      <w:pPr>
        <w:pStyle w:val="ListParagraph"/>
        <w:numPr>
          <w:ilvl w:val="0"/>
          <w:numId w:val="11"/>
        </w:numPr>
        <w:spacing w:after="0" w:line="240" w:lineRule="auto"/>
        <w:contextualSpacing/>
        <w:jc w:val="both"/>
        <w:rPr>
          <w:rFonts w:ascii="Calibri" w:hAnsi="Calibri" w:cs="Calibri"/>
          <w:sz w:val="22"/>
          <w:lang w:eastAsia="en-GB"/>
        </w:rPr>
      </w:pPr>
      <w:r w:rsidRPr="00804E67">
        <w:rPr>
          <w:rFonts w:ascii="Calibri" w:hAnsi="Calibri" w:cs="Calibri"/>
          <w:sz w:val="22"/>
          <w:lang w:eastAsia="en-GB"/>
        </w:rPr>
        <w:t>Certified copy of valid Tax compliance certificate.</w:t>
      </w:r>
    </w:p>
    <w:p w14:paraId="03F27573" w14:textId="77777777" w:rsidR="00804E67" w:rsidRPr="00804E67" w:rsidRDefault="00804E67" w:rsidP="00804E67">
      <w:pPr>
        <w:spacing w:after="0"/>
        <w:ind w:left="1073"/>
        <w:contextualSpacing/>
        <w:jc w:val="both"/>
        <w:rPr>
          <w:rFonts w:ascii="Calibri" w:hAnsi="Calibri" w:cs="Calibri"/>
          <w:sz w:val="22"/>
          <w:lang w:eastAsia="en-GB"/>
        </w:rPr>
      </w:pPr>
    </w:p>
    <w:p w14:paraId="4A4A8C22" w14:textId="208CA1F2" w:rsidR="00804E67" w:rsidRPr="00804E67" w:rsidRDefault="00804E67" w:rsidP="00804E67">
      <w:pPr>
        <w:spacing w:after="0"/>
        <w:contextualSpacing/>
        <w:jc w:val="both"/>
        <w:rPr>
          <w:rFonts w:ascii="Calibri" w:hAnsi="Calibri" w:cs="Calibri"/>
          <w:sz w:val="22"/>
          <w:szCs w:val="22"/>
          <w:lang w:eastAsia="en-GB"/>
        </w:rPr>
      </w:pPr>
      <w:r w:rsidRPr="00804E67">
        <w:rPr>
          <w:rFonts w:ascii="Calibri" w:eastAsiaTheme="minorEastAsia" w:hAnsi="Calibri" w:cs="Calibri"/>
          <w:sz w:val="22"/>
          <w:szCs w:val="22"/>
        </w:rPr>
        <w:t xml:space="preserve">Applications are accepted in English at the following address </w:t>
      </w:r>
      <w:hyperlink r:id="rId7" w:history="1">
        <w:r w:rsidRPr="00996174">
          <w:rPr>
            <w:rStyle w:val="Hyperlink"/>
            <w:rFonts w:ascii="Calibri" w:eastAsiaTheme="minorEastAsia" w:hAnsi="Calibri" w:cs="Calibri"/>
            <w:sz w:val="22"/>
            <w:szCs w:val="22"/>
          </w:rPr>
          <w:t>ng.tenders2@nrc.no</w:t>
        </w:r>
      </w:hyperlink>
      <w:r w:rsidRPr="00804E67">
        <w:rPr>
          <w:rFonts w:ascii="Calibri" w:eastAsiaTheme="minorEastAsia" w:hAnsi="Calibri" w:cs="Calibri"/>
          <w:sz w:val="22"/>
          <w:szCs w:val="22"/>
        </w:rPr>
        <w:t xml:space="preserve"> no later than </w:t>
      </w:r>
      <w:r w:rsidRPr="00804E67">
        <w:rPr>
          <w:rFonts w:ascii="Calibri" w:eastAsiaTheme="minorEastAsia" w:hAnsi="Calibri" w:cs="Calibri"/>
          <w:b/>
          <w:bCs/>
          <w:sz w:val="22"/>
          <w:szCs w:val="22"/>
        </w:rPr>
        <w:t>15</w:t>
      </w:r>
      <w:r w:rsidRPr="00804E67">
        <w:rPr>
          <w:rFonts w:ascii="Calibri" w:eastAsiaTheme="minorEastAsia" w:hAnsi="Calibri" w:cs="Calibri"/>
          <w:b/>
          <w:bCs/>
          <w:sz w:val="22"/>
          <w:szCs w:val="22"/>
          <w:vertAlign w:val="superscript"/>
        </w:rPr>
        <w:t>th</w:t>
      </w:r>
      <w:r w:rsidRPr="00804E67">
        <w:rPr>
          <w:rFonts w:ascii="Calibri" w:eastAsiaTheme="minorEastAsia" w:hAnsi="Calibri" w:cs="Calibri"/>
          <w:b/>
          <w:bCs/>
          <w:sz w:val="22"/>
          <w:szCs w:val="22"/>
        </w:rPr>
        <w:t xml:space="preserve"> February 2026</w:t>
      </w:r>
      <w:r>
        <w:rPr>
          <w:rFonts w:ascii="Calibri" w:eastAsiaTheme="minorEastAsia" w:hAnsi="Calibri" w:cs="Calibri"/>
          <w:b/>
          <w:bCs/>
          <w:sz w:val="22"/>
          <w:szCs w:val="22"/>
        </w:rPr>
        <w:t xml:space="preserve"> </w:t>
      </w:r>
      <w:r w:rsidR="00FF7C10">
        <w:rPr>
          <w:rFonts w:ascii="Calibri" w:eastAsiaTheme="minorEastAsia" w:hAnsi="Calibri" w:cs="Calibri"/>
          <w:b/>
          <w:bCs/>
          <w:sz w:val="22"/>
          <w:szCs w:val="22"/>
        </w:rPr>
        <w:t>mid-night</w:t>
      </w:r>
      <w:r>
        <w:rPr>
          <w:rFonts w:ascii="Calibri" w:eastAsiaTheme="minorEastAsia" w:hAnsi="Calibri" w:cs="Calibri"/>
          <w:b/>
          <w:bCs/>
          <w:sz w:val="22"/>
          <w:szCs w:val="22"/>
        </w:rPr>
        <w:t xml:space="preserve"> Nigeria time.</w:t>
      </w:r>
    </w:p>
    <w:p w14:paraId="123B0E0A" w14:textId="38968350" w:rsidR="00804E67" w:rsidRPr="00804E67" w:rsidRDefault="00804E67" w:rsidP="00F47276">
      <w:pPr>
        <w:pStyle w:val="BodyText"/>
        <w:jc w:val="both"/>
        <w:rPr>
          <w:rFonts w:ascii="Calibri" w:hAnsi="Calibri" w:cs="Calibri"/>
          <w:sz w:val="22"/>
          <w:szCs w:val="22"/>
        </w:rPr>
      </w:pPr>
      <w:r w:rsidRPr="00804E67">
        <w:rPr>
          <w:rFonts w:ascii="Calibri" w:eastAsiaTheme="minorEastAsia" w:hAnsi="Calibri" w:cs="Calibri"/>
          <w:sz w:val="22"/>
          <w:szCs w:val="22"/>
          <w:lang w:val="en-US"/>
        </w:rPr>
        <w:t xml:space="preserve">Submit completed bids to </w:t>
      </w:r>
      <w:r w:rsidRPr="00804E67">
        <w:rPr>
          <w:rFonts w:ascii="Calibri" w:eastAsiaTheme="minorEastAsia" w:hAnsi="Calibri" w:cs="Calibri"/>
          <w:b/>
          <w:bCs/>
          <w:sz w:val="22"/>
          <w:szCs w:val="22"/>
          <w:lang w:val="en-US"/>
        </w:rPr>
        <w:t>(</w:t>
      </w:r>
      <w:r w:rsidR="00F47276" w:rsidRPr="00F47276">
        <w:rPr>
          <w:rFonts w:ascii="Calibri" w:eastAsiaTheme="minorEastAsia" w:hAnsi="Calibri" w:cs="Calibri"/>
          <w:b/>
          <w:bCs/>
          <w:sz w:val="22"/>
          <w:szCs w:val="22"/>
        </w:rPr>
        <w:t>05/NRC-NAT/NG/2026</w:t>
      </w:r>
      <w:r w:rsidR="00F47276">
        <w:rPr>
          <w:rFonts w:ascii="Calibri" w:eastAsiaTheme="minorEastAsia" w:hAnsi="Calibri" w:cs="Calibri"/>
          <w:b/>
          <w:bCs/>
          <w:sz w:val="22"/>
          <w:szCs w:val="22"/>
        </w:rPr>
        <w:t xml:space="preserve"> </w:t>
      </w:r>
      <w:r w:rsidRPr="00804E67">
        <w:rPr>
          <w:rFonts w:ascii="Calibri" w:eastAsiaTheme="minorEastAsia" w:hAnsi="Calibri" w:cs="Calibri"/>
          <w:b/>
          <w:bCs/>
          <w:sz w:val="22"/>
          <w:szCs w:val="22"/>
        </w:rPr>
        <w:t xml:space="preserve">– </w:t>
      </w:r>
      <w:r w:rsidR="00F47276" w:rsidRPr="00F47276">
        <w:rPr>
          <w:rFonts w:ascii="Calibri" w:eastAsiaTheme="minorEastAsia" w:hAnsi="Calibri" w:cs="Calibri"/>
          <w:b/>
          <w:bCs/>
          <w:sz w:val="22"/>
          <w:szCs w:val="22"/>
        </w:rPr>
        <w:t>Consultancy on the development of an inclusive housing finance mechanism for displacement affected communities</w:t>
      </w:r>
      <w:r w:rsidRPr="00804E67">
        <w:rPr>
          <w:rFonts w:ascii="Calibri" w:eastAsiaTheme="minorEastAsia" w:hAnsi="Calibri" w:cs="Calibri"/>
          <w:b/>
          <w:bCs/>
          <w:sz w:val="22"/>
          <w:szCs w:val="22"/>
          <w:lang w:val="en-US"/>
        </w:rPr>
        <w:t>)</w:t>
      </w:r>
    </w:p>
    <w:sectPr w:rsidR="00804E67" w:rsidRPr="00804E67">
      <w:head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F65C" w14:textId="77777777" w:rsidR="00EE2DA6" w:rsidRDefault="00EE2DA6" w:rsidP="004E2C04">
      <w:pPr>
        <w:spacing w:after="0"/>
      </w:pPr>
      <w:r>
        <w:separator/>
      </w:r>
    </w:p>
  </w:endnote>
  <w:endnote w:type="continuationSeparator" w:id="0">
    <w:p w14:paraId="7FB92128" w14:textId="77777777" w:rsidR="00EE2DA6" w:rsidRDefault="00EE2DA6" w:rsidP="004E2C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69C2" w14:textId="77777777" w:rsidR="00EE2DA6" w:rsidRDefault="00EE2DA6" w:rsidP="004E2C04">
      <w:pPr>
        <w:spacing w:after="0"/>
      </w:pPr>
      <w:r>
        <w:separator/>
      </w:r>
    </w:p>
  </w:footnote>
  <w:footnote w:type="continuationSeparator" w:id="0">
    <w:p w14:paraId="0464021B" w14:textId="77777777" w:rsidR="00EE2DA6" w:rsidRDefault="00EE2DA6" w:rsidP="004E2C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2CEE" w14:textId="58E159CD" w:rsidR="004E2C04" w:rsidRDefault="004E2C04">
    <w:pPr>
      <w:pStyle w:val="Header"/>
    </w:pPr>
    <w:r>
      <w:rPr>
        <w:noProof/>
      </w:rPr>
      <w:drawing>
        <wp:anchor distT="0" distB="180340" distL="114300" distR="114300" simplePos="0" relativeHeight="251658240" behindDoc="0" locked="0" layoutInCell="1" allowOverlap="1" wp14:anchorId="583EF7DF" wp14:editId="05FB5CCF">
          <wp:simplePos x="0" y="0"/>
          <wp:positionH relativeFrom="page">
            <wp:posOffset>654050</wp:posOffset>
          </wp:positionH>
          <wp:positionV relativeFrom="page">
            <wp:posOffset>361950</wp:posOffset>
          </wp:positionV>
          <wp:extent cx="2185200" cy="554400"/>
          <wp:effectExtent l="0" t="0" r="5715" b="0"/>
          <wp:wrapTopAndBottom/>
          <wp:docPr id="1" name="Bilde 1" descr="Norwegian Refuge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Norwegian Refuge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200" cy="55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CE69D0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970A6C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D8723A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C984A12"/>
    <w:multiLevelType w:val="hybridMultilevel"/>
    <w:tmpl w:val="B9104C58"/>
    <w:lvl w:ilvl="0" w:tplc="FF2E3BCE">
      <w:numFmt w:val="bullet"/>
      <w:lvlText w:val="-"/>
      <w:lvlJc w:val="left"/>
      <w:pPr>
        <w:ind w:left="1433" w:hanging="360"/>
      </w:pPr>
      <w:rPr>
        <w:rFonts w:ascii="Arial" w:eastAsia="Times New Roman" w:hAnsi="Arial" w:cs="Arial" w:hint="default"/>
      </w:rPr>
    </w:lvl>
    <w:lvl w:ilvl="1" w:tplc="04090003">
      <w:start w:val="1"/>
      <w:numFmt w:val="bullet"/>
      <w:lvlText w:val="o"/>
      <w:lvlJc w:val="left"/>
      <w:pPr>
        <w:ind w:left="2153" w:hanging="360"/>
      </w:pPr>
      <w:rPr>
        <w:rFonts w:ascii="Courier New" w:hAnsi="Courier New" w:cs="Courier New" w:hint="default"/>
      </w:rPr>
    </w:lvl>
    <w:lvl w:ilvl="2" w:tplc="04090005">
      <w:start w:val="1"/>
      <w:numFmt w:val="bullet"/>
      <w:lvlText w:val=""/>
      <w:lvlJc w:val="left"/>
      <w:pPr>
        <w:ind w:left="2873" w:hanging="360"/>
      </w:pPr>
      <w:rPr>
        <w:rFonts w:ascii="Wingdings" w:hAnsi="Wingdings" w:hint="default"/>
      </w:rPr>
    </w:lvl>
    <w:lvl w:ilvl="3" w:tplc="04090001">
      <w:start w:val="1"/>
      <w:numFmt w:val="bullet"/>
      <w:lvlText w:val=""/>
      <w:lvlJc w:val="left"/>
      <w:pPr>
        <w:ind w:left="3593" w:hanging="360"/>
      </w:pPr>
      <w:rPr>
        <w:rFonts w:ascii="Symbol" w:hAnsi="Symbol" w:hint="default"/>
      </w:rPr>
    </w:lvl>
    <w:lvl w:ilvl="4" w:tplc="04090003">
      <w:start w:val="1"/>
      <w:numFmt w:val="bullet"/>
      <w:lvlText w:val="o"/>
      <w:lvlJc w:val="left"/>
      <w:pPr>
        <w:ind w:left="4313" w:hanging="360"/>
      </w:pPr>
      <w:rPr>
        <w:rFonts w:ascii="Courier New" w:hAnsi="Courier New" w:cs="Courier New" w:hint="default"/>
      </w:rPr>
    </w:lvl>
    <w:lvl w:ilvl="5" w:tplc="04090005">
      <w:start w:val="1"/>
      <w:numFmt w:val="bullet"/>
      <w:lvlText w:val=""/>
      <w:lvlJc w:val="left"/>
      <w:pPr>
        <w:ind w:left="5033" w:hanging="360"/>
      </w:pPr>
      <w:rPr>
        <w:rFonts w:ascii="Wingdings" w:hAnsi="Wingdings" w:hint="default"/>
      </w:rPr>
    </w:lvl>
    <w:lvl w:ilvl="6" w:tplc="04090001">
      <w:start w:val="1"/>
      <w:numFmt w:val="bullet"/>
      <w:lvlText w:val=""/>
      <w:lvlJc w:val="left"/>
      <w:pPr>
        <w:ind w:left="5753" w:hanging="360"/>
      </w:pPr>
      <w:rPr>
        <w:rFonts w:ascii="Symbol" w:hAnsi="Symbol" w:hint="default"/>
      </w:rPr>
    </w:lvl>
    <w:lvl w:ilvl="7" w:tplc="04090003">
      <w:start w:val="1"/>
      <w:numFmt w:val="bullet"/>
      <w:lvlText w:val="o"/>
      <w:lvlJc w:val="left"/>
      <w:pPr>
        <w:ind w:left="6473" w:hanging="360"/>
      </w:pPr>
      <w:rPr>
        <w:rFonts w:ascii="Courier New" w:hAnsi="Courier New" w:cs="Courier New" w:hint="default"/>
      </w:rPr>
    </w:lvl>
    <w:lvl w:ilvl="8" w:tplc="04090005">
      <w:start w:val="1"/>
      <w:numFmt w:val="bullet"/>
      <w:lvlText w:val=""/>
      <w:lvlJc w:val="left"/>
      <w:pPr>
        <w:ind w:left="7193" w:hanging="360"/>
      </w:pPr>
      <w:rPr>
        <w:rFonts w:ascii="Wingdings" w:hAnsi="Wingdings" w:hint="default"/>
      </w:rPr>
    </w:lvl>
  </w:abstractNum>
  <w:abstractNum w:abstractNumId="4" w15:restartNumberingAfterBreak="0">
    <w:nsid w:val="463823F8"/>
    <w:multiLevelType w:val="hybridMultilevel"/>
    <w:tmpl w:val="421A4EB2"/>
    <w:lvl w:ilvl="0" w:tplc="63FE792E">
      <w:start w:val="1"/>
      <w:numFmt w:val="decimal"/>
      <w:pStyle w:val="ListParagraph"/>
      <w:lvlText w:val="%1."/>
      <w:lvlJc w:val="left"/>
      <w:pPr>
        <w:ind w:left="360" w:hanging="360"/>
      </w:pPr>
      <w:rPr>
        <w:color w:val="auto"/>
      </w:rPr>
    </w:lvl>
    <w:lvl w:ilvl="1" w:tplc="04140019">
      <w:start w:val="1"/>
      <w:numFmt w:val="lowerLetter"/>
      <w:lvlText w:val="%2."/>
      <w:lvlJc w:val="left"/>
      <w:pPr>
        <w:ind w:left="2160" w:hanging="360"/>
      </w:pPr>
    </w:lvl>
    <w:lvl w:ilvl="2" w:tplc="0414001B">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6DEA685A"/>
    <w:multiLevelType w:val="hybridMultilevel"/>
    <w:tmpl w:val="2C0E88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27060534">
    <w:abstractNumId w:val="0"/>
  </w:num>
  <w:num w:numId="2" w16cid:durableId="311952275">
    <w:abstractNumId w:val="1"/>
  </w:num>
  <w:num w:numId="3" w16cid:durableId="50152441">
    <w:abstractNumId w:val="1"/>
  </w:num>
  <w:num w:numId="4" w16cid:durableId="2016034561">
    <w:abstractNumId w:val="1"/>
  </w:num>
  <w:num w:numId="5" w16cid:durableId="1061439386">
    <w:abstractNumId w:val="1"/>
  </w:num>
  <w:num w:numId="6" w16cid:durableId="1734963537">
    <w:abstractNumId w:val="1"/>
  </w:num>
  <w:num w:numId="7" w16cid:durableId="1087338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3771941">
    <w:abstractNumId w:val="1"/>
  </w:num>
  <w:num w:numId="9" w16cid:durableId="1105884337">
    <w:abstractNumId w:val="5"/>
  </w:num>
  <w:num w:numId="10" w16cid:durableId="714819468">
    <w:abstractNumId w:val="4"/>
  </w:num>
  <w:num w:numId="11" w16cid:durableId="1530994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3A"/>
    <w:rsid w:val="000F6400"/>
    <w:rsid w:val="00100DF8"/>
    <w:rsid w:val="001C6250"/>
    <w:rsid w:val="00480995"/>
    <w:rsid w:val="00485EDA"/>
    <w:rsid w:val="004C2723"/>
    <w:rsid w:val="004C4D60"/>
    <w:rsid w:val="004E2C04"/>
    <w:rsid w:val="004F0DF0"/>
    <w:rsid w:val="0052075A"/>
    <w:rsid w:val="00563923"/>
    <w:rsid w:val="005A2BF5"/>
    <w:rsid w:val="005B53F4"/>
    <w:rsid w:val="00804E67"/>
    <w:rsid w:val="008A773A"/>
    <w:rsid w:val="0092239A"/>
    <w:rsid w:val="00A57354"/>
    <w:rsid w:val="00B431DA"/>
    <w:rsid w:val="00B507B7"/>
    <w:rsid w:val="00B87B33"/>
    <w:rsid w:val="00C0215C"/>
    <w:rsid w:val="00C826A2"/>
    <w:rsid w:val="00E94FA5"/>
    <w:rsid w:val="00EE2DA6"/>
    <w:rsid w:val="00EF7D8B"/>
    <w:rsid w:val="00F44127"/>
    <w:rsid w:val="00F47276"/>
    <w:rsid w:val="00F92709"/>
    <w:rsid w:val="00FF7C10"/>
    <w:rsid w:val="16485EED"/>
    <w:rsid w:val="1FAF8D8C"/>
    <w:rsid w:val="288F7E04"/>
    <w:rsid w:val="2E4363C6"/>
    <w:rsid w:val="3245AAD6"/>
    <w:rsid w:val="36339823"/>
    <w:rsid w:val="3781DE6D"/>
    <w:rsid w:val="394B92A8"/>
    <w:rsid w:val="3F3C2ED6"/>
    <w:rsid w:val="436B079A"/>
    <w:rsid w:val="4B85004B"/>
    <w:rsid w:val="568536A1"/>
    <w:rsid w:val="5724AE85"/>
    <w:rsid w:val="68ABD5D6"/>
    <w:rsid w:val="73BCC5A4"/>
    <w:rsid w:val="78BA32DD"/>
    <w:rsid w:val="7FF58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0EBE"/>
  <w15:docId w15:val="{14A0C14D-969C-4A43-92A4-4F317F9B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73BCC5A4"/>
    <w:rPr>
      <w:lang w:val="en-GB"/>
    </w:rPr>
  </w:style>
  <w:style w:type="paragraph" w:styleId="Heading1">
    <w:name w:val="heading 1"/>
    <w:basedOn w:val="Normal"/>
    <w:next w:val="BodyText"/>
    <w:link w:val="Heading1Char"/>
    <w:uiPriority w:val="9"/>
    <w:qFormat/>
    <w:rsid w:val="73BCC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73BCC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73BCC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73BCC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73BCC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73BCC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73BCC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73BCC5A4"/>
    <w:pPr>
      <w:keepNext/>
      <w:keepLines/>
      <w:spacing w:after="0"/>
      <w:outlineLvl w:val="7"/>
    </w:pPr>
    <w:rPr>
      <w:rFonts w:eastAsiaTheme="majorEastAsia" w:cstheme="majorBidi"/>
      <w:i/>
      <w:iCs/>
      <w:color w:val="272727"/>
    </w:rPr>
  </w:style>
  <w:style w:type="paragraph" w:styleId="Heading9">
    <w:name w:val="heading 9"/>
    <w:basedOn w:val="Normal"/>
    <w:next w:val="BodyText"/>
    <w:link w:val="Heading9Char"/>
    <w:uiPriority w:val="9"/>
    <w:semiHidden/>
    <w:unhideWhenUsed/>
    <w:qFormat/>
    <w:rsid w:val="73BCC5A4"/>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73BCC5A4"/>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73BCC5A4"/>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uiPriority w:val="1"/>
    <w:qFormat/>
    <w:rsid w:val="73BCC5A4"/>
    <w:pPr>
      <w:keepNext/>
      <w:keepLines/>
      <w:spacing w:before="300" w:after="0"/>
      <w:jc w:val="center"/>
    </w:pPr>
    <w:rPr>
      <w:b/>
      <w:bCs/>
      <w:sz w:val="20"/>
      <w:szCs w:val="20"/>
    </w:rPr>
  </w:style>
  <w:style w:type="paragraph" w:customStyle="1" w:styleId="Abstract">
    <w:name w:val="Abstract"/>
    <w:basedOn w:val="Normal"/>
    <w:next w:val="BodyText"/>
    <w:uiPriority w:val="1"/>
    <w:qFormat/>
    <w:rsid w:val="73BCC5A4"/>
    <w:pPr>
      <w:keepNext/>
      <w:keepLines/>
      <w:spacing w:before="100" w:after="300"/>
    </w:pPr>
    <w:rPr>
      <w:sz w:val="20"/>
      <w:szCs w:val="20"/>
    </w:rPr>
  </w:style>
  <w:style w:type="paragraph" w:styleId="Bibliography">
    <w:name w:val="Bibliography"/>
    <w:basedOn w:val="Normal"/>
    <w:uiPriority w:val="1"/>
    <w:qFormat/>
    <w:rsid w:val="73BCC5A4"/>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73BCC5A4"/>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uiPriority w:val="1"/>
    <w:rsid w:val="73BCC5A4"/>
    <w:pPr>
      <w:keepNext/>
      <w:keepLines/>
      <w:spacing w:after="0"/>
    </w:pPr>
    <w:rPr>
      <w:b/>
      <w:bCs/>
    </w:rPr>
  </w:style>
  <w:style w:type="paragraph" w:customStyle="1" w:styleId="Definition">
    <w:name w:val="Definition"/>
    <w:basedOn w:val="Normal"/>
    <w:uiPriority w:val="1"/>
    <w:rsid w:val="73BCC5A4"/>
  </w:style>
  <w:style w:type="paragraph" w:styleId="Caption">
    <w:name w:val="caption"/>
    <w:basedOn w:val="Normal"/>
    <w:link w:val="CaptionChar"/>
    <w:uiPriority w:val="1"/>
    <w:rsid w:val="73BCC5A4"/>
    <w:pPr>
      <w:spacing w:after="120"/>
    </w:pPr>
    <w:rPr>
      <w:i/>
      <w:iCs/>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uiPriority w:val="1"/>
    <w:rsid w:val="73BCC5A4"/>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uiPriority w:val="1"/>
    <w:rsid w:val="73BCC5A4"/>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1"/>
    <w:rsid w:val="73BCC5A4"/>
    <w:pPr>
      <w:tabs>
        <w:tab w:val="center" w:pos="4513"/>
        <w:tab w:val="right" w:pos="9026"/>
      </w:tabs>
      <w:spacing w:after="0"/>
    </w:pPr>
  </w:style>
  <w:style w:type="character" w:customStyle="1" w:styleId="HeaderChar">
    <w:name w:val="Header Char"/>
    <w:basedOn w:val="DefaultParagraphFont"/>
    <w:link w:val="Header"/>
    <w:rsid w:val="004E2C04"/>
  </w:style>
  <w:style w:type="paragraph" w:styleId="Footer">
    <w:name w:val="footer"/>
    <w:basedOn w:val="Normal"/>
    <w:link w:val="FooterChar"/>
    <w:uiPriority w:val="1"/>
    <w:rsid w:val="73BCC5A4"/>
    <w:pPr>
      <w:tabs>
        <w:tab w:val="center" w:pos="4513"/>
        <w:tab w:val="right" w:pos="9026"/>
      </w:tabs>
      <w:spacing w:after="0"/>
    </w:pPr>
  </w:style>
  <w:style w:type="character" w:customStyle="1" w:styleId="FooterChar">
    <w:name w:val="Footer Char"/>
    <w:basedOn w:val="DefaultParagraphFont"/>
    <w:link w:val="Footer"/>
    <w:rsid w:val="004E2C04"/>
  </w:style>
  <w:style w:type="paragraph" w:styleId="NormalWeb">
    <w:name w:val="Normal (Web)"/>
    <w:basedOn w:val="Normal"/>
    <w:uiPriority w:val="99"/>
    <w:unhideWhenUsed/>
    <w:rsid w:val="73BCC5A4"/>
    <w:pPr>
      <w:spacing w:beforeAutospacing="1" w:afterAutospacing="1"/>
    </w:pPr>
    <w:rPr>
      <w:rFonts w:ascii="Times New Roman" w:eastAsia="Times New Roman" w:hAnsi="Times New Roman" w:cs="Times New Roman"/>
    </w:rPr>
  </w:style>
  <w:style w:type="paragraph" w:styleId="Revision">
    <w:name w:val="Revision"/>
    <w:hidden/>
    <w:rsid w:val="00B431DA"/>
    <w:pPr>
      <w:spacing w:after="0"/>
    </w:pPr>
  </w:style>
  <w:style w:type="character" w:styleId="CommentReference">
    <w:name w:val="annotation reference"/>
    <w:basedOn w:val="DefaultParagraphFont"/>
    <w:rsid w:val="00C0215C"/>
    <w:rPr>
      <w:sz w:val="16"/>
      <w:szCs w:val="16"/>
    </w:rPr>
  </w:style>
  <w:style w:type="paragraph" w:styleId="CommentText">
    <w:name w:val="annotation text"/>
    <w:basedOn w:val="Normal"/>
    <w:link w:val="CommentTextChar"/>
    <w:uiPriority w:val="1"/>
    <w:rsid w:val="73BCC5A4"/>
    <w:rPr>
      <w:sz w:val="20"/>
      <w:szCs w:val="20"/>
    </w:rPr>
  </w:style>
  <w:style w:type="character" w:customStyle="1" w:styleId="CommentTextChar">
    <w:name w:val="Comment Text Char"/>
    <w:basedOn w:val="DefaultParagraphFont"/>
    <w:link w:val="CommentText"/>
    <w:rsid w:val="00C0215C"/>
    <w:rPr>
      <w:sz w:val="20"/>
      <w:szCs w:val="20"/>
    </w:rPr>
  </w:style>
  <w:style w:type="paragraph" w:styleId="CommentSubject">
    <w:name w:val="annotation subject"/>
    <w:basedOn w:val="CommentText"/>
    <w:next w:val="CommentText"/>
    <w:link w:val="CommentSubjectChar"/>
    <w:rsid w:val="00C0215C"/>
    <w:rPr>
      <w:b/>
      <w:bCs/>
    </w:rPr>
  </w:style>
  <w:style w:type="character" w:customStyle="1" w:styleId="CommentSubjectChar">
    <w:name w:val="Comment Subject Char"/>
    <w:basedOn w:val="CommentTextChar"/>
    <w:link w:val="CommentSubject"/>
    <w:rsid w:val="00C0215C"/>
    <w:rPr>
      <w:b/>
      <w:bCs/>
      <w:sz w:val="20"/>
      <w:szCs w:val="20"/>
    </w:rPr>
  </w:style>
  <w:style w:type="paragraph" w:styleId="ListParagraph">
    <w:name w:val="List Paragraph"/>
    <w:aliases w:val="List NRC,Premier,COMESA Text 2,Bullets,List Paragraph (numbered (a)),Scriptoria bullet points,Bullet List,FooterText,List Paragraph1,Colorful List Accent 1,numbered,Paragraphe de liste1,列出段落,列出段落1,Bulletr List Paragraph,List Paragraph2,Ha"/>
    <w:basedOn w:val="Normal"/>
    <w:link w:val="ListParagraphChar"/>
    <w:uiPriority w:val="34"/>
    <w:qFormat/>
    <w:rsid w:val="00804E67"/>
    <w:pPr>
      <w:numPr>
        <w:numId w:val="10"/>
      </w:numPr>
      <w:spacing w:after="80" w:line="259" w:lineRule="auto"/>
    </w:pPr>
    <w:rPr>
      <w:color w:val="000000" w:themeColor="text1"/>
      <w:sz w:val="20"/>
      <w:szCs w:val="22"/>
    </w:rPr>
  </w:style>
  <w:style w:type="character" w:customStyle="1" w:styleId="ListParagraphChar">
    <w:name w:val="List Paragraph Char"/>
    <w:aliases w:val="List NRC Char,Premier Char,COMESA Text 2 Char,Bullets Char,List Paragraph (numbered (a)) Char,Scriptoria bullet points Char,Bullet List Char,FooterText Char,List Paragraph1 Char,Colorful List Accent 1 Char,numbered Char,列出段落 Char"/>
    <w:link w:val="ListParagraph"/>
    <w:uiPriority w:val="34"/>
    <w:qFormat/>
    <w:locked/>
    <w:rsid w:val="00804E67"/>
    <w:rPr>
      <w:color w:val="000000" w:themeColor="text1"/>
      <w:sz w:val="20"/>
      <w:szCs w:val="22"/>
      <w:lang w:val="en-GB"/>
    </w:rPr>
  </w:style>
  <w:style w:type="character" w:styleId="UnresolvedMention">
    <w:name w:val="Unresolved Mention"/>
    <w:basedOn w:val="DefaultParagraphFont"/>
    <w:uiPriority w:val="99"/>
    <w:semiHidden/>
    <w:unhideWhenUsed/>
    <w:rsid w:val="00804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g.tenders2@nrc.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Shezane Kirubi</dc:creator>
  <cp:keywords/>
  <cp:lastModifiedBy>Charles Mule</cp:lastModifiedBy>
  <cp:revision>4</cp:revision>
  <dcterms:created xsi:type="dcterms:W3CDTF">2026-02-01T14:23:00Z</dcterms:created>
  <dcterms:modified xsi:type="dcterms:W3CDTF">2026-02-02T09:46:00Z</dcterms:modified>
</cp:coreProperties>
</file>