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sidestil"/>
        <w:tblpPr w:leftFromText="142" w:rightFromText="142" w:vertAnchor="page" w:horzAnchor="margin" w:tblpY="1667"/>
        <w:tblW w:w="7938" w:type="dxa"/>
        <w:tblLayout w:type="fixed"/>
        <w:tblLook w:val="04A0" w:firstRow="1" w:lastRow="0" w:firstColumn="1" w:lastColumn="0" w:noHBand="0" w:noVBand="1"/>
      </w:tblPr>
      <w:tblGrid>
        <w:gridCol w:w="7938"/>
      </w:tblGrid>
      <w:tr w:rsidR="00E80B2C" w:rsidRPr="00BD146D" w14:paraId="37621F4E" w14:textId="77777777" w:rsidTr="00E80B2C">
        <w:trPr>
          <w:cnfStyle w:val="100000000000" w:firstRow="1" w:lastRow="0" w:firstColumn="0" w:lastColumn="0" w:oddVBand="0" w:evenVBand="0" w:oddHBand="0" w:evenHBand="0" w:firstRowFirstColumn="0" w:firstRowLastColumn="0" w:lastRowFirstColumn="0" w:lastRowLastColumn="0"/>
          <w:trHeight w:hRule="exact" w:val="851"/>
        </w:trPr>
        <w:tc>
          <w:tcPr>
            <w:tcW w:w="7938" w:type="dxa"/>
            <w:shd w:val="clear" w:color="auto" w:fill="auto"/>
            <w:vAlign w:val="top"/>
          </w:tcPr>
          <w:sdt>
            <w:sdtPr>
              <w:rPr>
                <w:rFonts w:ascii="Calibri" w:hAnsi="Calibri" w:cs="Calibri"/>
                <w:b/>
                <w:bCs/>
                <w:color w:val="auto"/>
                <w:sz w:val="30"/>
                <w:szCs w:val="30"/>
                <w:lang w:val="en-US"/>
              </w:rPr>
              <w:alias w:val="Heading"/>
              <w:tag w:val="Heading"/>
              <w:id w:val="-2081275978"/>
              <w:placeholder>
                <w:docPart w:val="AD4048BE3B134F0BBB7399E6F4D62F96"/>
              </w:placeholder>
              <w:text w:multiLine="1"/>
            </w:sdtPr>
            <w:sdtContent>
              <w:p w14:paraId="1F3E62D4" w14:textId="77777777" w:rsidR="00E80B2C" w:rsidRPr="00473482" w:rsidRDefault="00E80B2C" w:rsidP="00E80B2C">
                <w:pPr>
                  <w:pStyle w:val="Title"/>
                  <w:spacing w:before="0" w:after="0"/>
                  <w:ind w:left="0" w:right="0"/>
                  <w:jc w:val="center"/>
                  <w:rPr>
                    <w:color w:val="464645" w:themeColor="text1"/>
                  </w:rPr>
                </w:pPr>
                <w:r w:rsidRPr="00E75531">
                  <w:rPr>
                    <w:rFonts w:ascii="Calibri" w:hAnsi="Calibri" w:cs="Calibri"/>
                    <w:b/>
                    <w:bCs/>
                    <w:color w:val="auto"/>
                    <w:sz w:val="30"/>
                    <w:szCs w:val="30"/>
                    <w:lang w:val="en-US"/>
                  </w:rPr>
                  <w:t>End Line Evaluation Terms of Reference (ToR) - Emergency to Reliance E2R Project</w:t>
                </w:r>
              </w:p>
            </w:sdtContent>
          </w:sdt>
        </w:tc>
      </w:tr>
    </w:tbl>
    <w:sdt>
      <w:sdtPr>
        <w:id w:val="-519082247"/>
        <w:docPartObj>
          <w:docPartGallery w:val="Cover Pages"/>
          <w:docPartUnique/>
        </w:docPartObj>
      </w:sdtPr>
      <w:sdtContent>
        <w:p w14:paraId="602CAE10" w14:textId="4C55C49F" w:rsidR="00473482" w:rsidRDefault="00473482" w:rsidP="00A15269"/>
        <w:p w14:paraId="602CAE17" w14:textId="77777777" w:rsidR="00473482" w:rsidRDefault="00473482" w:rsidP="00473482">
          <w:pPr>
            <w:jc w:val="both"/>
            <w:rPr>
              <w:rFonts w:ascii="Calibri" w:hAnsi="Calibri" w:cs="Calibri"/>
              <w:b/>
              <w:lang w:val="en-US"/>
            </w:rPr>
          </w:pPr>
        </w:p>
        <w:p w14:paraId="602CAE18" w14:textId="77777777" w:rsidR="00C11051" w:rsidRPr="00CF5433" w:rsidRDefault="00473482" w:rsidP="00C11051">
          <w:pPr>
            <w:pStyle w:val="Heading1"/>
            <w:rPr>
              <w:color w:val="auto"/>
              <w:sz w:val="28"/>
              <w:szCs w:val="28"/>
              <w:lang w:val="en-US"/>
            </w:rPr>
          </w:pPr>
          <w:r w:rsidRPr="00CF5433">
            <w:rPr>
              <w:color w:val="auto"/>
              <w:sz w:val="28"/>
              <w:szCs w:val="28"/>
              <w:lang w:val="en-US"/>
            </w:rPr>
            <w:t>Background information</w:t>
          </w:r>
        </w:p>
        <w:tbl>
          <w:tblPr>
            <w:tblStyle w:val="TableGrid"/>
            <w:tblpPr w:leftFromText="180" w:rightFromText="180" w:vertAnchor="text" w:horzAnchor="margin" w:tblpY="178"/>
            <w:tblW w:w="0" w:type="auto"/>
            <w:tblLook w:val="04A0" w:firstRow="1" w:lastRow="0" w:firstColumn="1" w:lastColumn="0" w:noHBand="0" w:noVBand="1"/>
          </w:tblPr>
          <w:tblGrid>
            <w:gridCol w:w="8152"/>
          </w:tblGrid>
          <w:tr w:rsidR="00CF5433" w:rsidRPr="00CF5433" w14:paraId="602CAE1A" w14:textId="77777777" w:rsidTr="00BE6762">
            <w:trPr>
              <w:trHeight w:val="40"/>
            </w:trPr>
            <w:tc>
              <w:tcPr>
                <w:tcW w:w="8152" w:type="dxa"/>
              </w:tcPr>
              <w:p w14:paraId="59BE638F" w14:textId="234C9586" w:rsidR="00C11051" w:rsidRPr="00CF5433" w:rsidRDefault="00C11051" w:rsidP="00C11051">
                <w:pPr>
                  <w:pStyle w:val="Heading2"/>
                  <w:rPr>
                    <w:color w:val="auto"/>
                    <w:sz w:val="28"/>
                    <w:szCs w:val="28"/>
                  </w:rPr>
                </w:pPr>
                <w:r w:rsidRPr="00CF5433">
                  <w:rPr>
                    <w:color w:val="auto"/>
                    <w:sz w:val="28"/>
                    <w:szCs w:val="28"/>
                  </w:rPr>
                  <w:t>Background on the context</w:t>
                </w:r>
              </w:p>
              <w:p w14:paraId="4C85E2B2" w14:textId="5FE81D47" w:rsidR="00776D3D" w:rsidRPr="00CF5433" w:rsidRDefault="00032869" w:rsidP="00776D3D">
                <w:pPr>
                  <w:jc w:val="both"/>
                  <w:rPr>
                    <w:color w:val="auto"/>
                  </w:rPr>
                </w:pPr>
                <w:r w:rsidRPr="00CF5433">
                  <w:rPr>
                    <w:noProof/>
                    <w:color w:val="auto"/>
                    <w:lang w:val="en-US"/>
                  </w:rPr>
                  <w:drawing>
                    <wp:anchor distT="0" distB="0" distL="114300" distR="114300" simplePos="0" relativeHeight="251658240" behindDoc="0" locked="0" layoutInCell="1" allowOverlap="1" wp14:anchorId="1E4D664C" wp14:editId="49395292">
                      <wp:simplePos x="0" y="0"/>
                      <wp:positionH relativeFrom="column">
                        <wp:posOffset>56543</wp:posOffset>
                      </wp:positionH>
                      <wp:positionV relativeFrom="paragraph">
                        <wp:posOffset>25124</wp:posOffset>
                      </wp:positionV>
                      <wp:extent cx="1717040" cy="2682875"/>
                      <wp:effectExtent l="0" t="0" r="0" b="3175"/>
                      <wp:wrapThrough wrapText="bothSides">
                        <wp:wrapPolygon edited="0">
                          <wp:start x="0" y="0"/>
                          <wp:lineTo x="0" y="21472"/>
                          <wp:lineTo x="21328" y="21472"/>
                          <wp:lineTo x="21328" y="0"/>
                          <wp:lineTo x="0" y="0"/>
                        </wp:wrapPolygon>
                      </wp:wrapThrough>
                      <wp:docPr id="1135816443"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16443" name="Picture 1" descr="A map of the country&#10;&#10;Description automatically generated"/>
                              <pic:cNvPicPr/>
                            </pic:nvPicPr>
                            <pic:blipFill rotWithShape="1">
                              <a:blip r:embed="rId12">
                                <a:grayscl/>
                              </a:blip>
                              <a:srcRect l="2263"/>
                              <a:stretch>
                                <a:fillRect/>
                              </a:stretch>
                            </pic:blipFill>
                            <pic:spPr bwMode="auto">
                              <a:xfrm>
                                <a:off x="0" y="0"/>
                                <a:ext cx="1717040" cy="268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76D3D" w:rsidRPr="00CF5433">
                  <w:rPr>
                    <w:color w:val="auto"/>
                  </w:rPr>
                  <w:t>Adamawa State continues to face acute humanitarian needs due to the protracted conflict in the Lake Chad Basin and recurring communal violence. Recent data from the IOM Displacement Tracking Matrix (DTM) Round 49 (October–November 2024) estimates that Adamawa hosts approximately 202,711 internally displaced persons (IDPs) and 212,933 returnees, representing a significant portion of the displacement caseload in North-East Nigeria.</w:t>
                </w:r>
              </w:p>
              <w:p w14:paraId="442B5FAE" w14:textId="77777777" w:rsidR="00C46746" w:rsidRPr="00CF5433" w:rsidRDefault="00C46746" w:rsidP="00776D3D">
                <w:pPr>
                  <w:jc w:val="both"/>
                  <w:rPr>
                    <w:color w:val="auto"/>
                  </w:rPr>
                </w:pPr>
              </w:p>
              <w:p w14:paraId="63F048A9" w14:textId="606EE0B9" w:rsidR="00776D3D" w:rsidRPr="00CF5433" w:rsidRDefault="00776D3D" w:rsidP="00776D3D">
                <w:pPr>
                  <w:jc w:val="both"/>
                  <w:rPr>
                    <w:color w:val="auto"/>
                  </w:rPr>
                </w:pPr>
                <w:r w:rsidRPr="00CF5433">
                  <w:rPr>
                    <w:color w:val="auto"/>
                  </w:rPr>
                  <w:t>In addition to displacement, the state has recorded persistent tensions related to farmer-herder dynamics, inter- and intra-communal conflicts, and climate-induced shocks such as flooding and droughts. According to the IOM Transhumance Tracking Tool (May 2024), 212 alerts were reported across Adamawa and Taraba States, with the majority occurring in Adamawa. These alerts captured a range of conflict and disaster-related events, underscoring the fragility of peace and security in the region.</w:t>
                </w:r>
              </w:p>
              <w:p w14:paraId="4F027FA2" w14:textId="77777777" w:rsidR="00C46746" w:rsidRPr="00CF5433" w:rsidRDefault="00C46746" w:rsidP="00776D3D">
                <w:pPr>
                  <w:jc w:val="both"/>
                  <w:rPr>
                    <w:color w:val="auto"/>
                  </w:rPr>
                </w:pPr>
              </w:p>
              <w:p w14:paraId="387284F6" w14:textId="41F530C3" w:rsidR="00776D3D" w:rsidRPr="00CF5433" w:rsidRDefault="00776D3D" w:rsidP="00776D3D">
                <w:pPr>
                  <w:jc w:val="both"/>
                  <w:rPr>
                    <w:color w:val="auto"/>
                  </w:rPr>
                </w:pPr>
                <w:r w:rsidRPr="00CF5433">
                  <w:rPr>
                    <w:color w:val="auto"/>
                  </w:rPr>
                  <w:t xml:space="preserve">In response to these intersecting crises, the Emergency to Resilience (E2R) consortium, led by the Norwegian Refugee Council (NRC) and comprising the Danish Refugee Council (DRC), International Rescue Committee (IRC), BBC Media Action, and Justice Development and Peace Commission (JDPC), has been active in Adamawa since July 2023. Building on years of localized humanitarian engagement, the consortium has adopted a </w:t>
                </w:r>
                <w:r w:rsidR="00C46746" w:rsidRPr="00CF5433">
                  <w:rPr>
                    <w:color w:val="auto"/>
                  </w:rPr>
                  <w:t>multi-layered</w:t>
                </w:r>
                <w:r w:rsidRPr="00CF5433">
                  <w:rPr>
                    <w:color w:val="auto"/>
                  </w:rPr>
                  <w:t>, multisectoral approach—simultaneously addressing immediate emergency needs and strengthening the resilience of vulnerable communities.</w:t>
                </w:r>
              </w:p>
              <w:p w14:paraId="3F4369CB" w14:textId="77777777" w:rsidR="00503591" w:rsidRPr="00CF5433" w:rsidRDefault="00503591" w:rsidP="00776D3D">
                <w:pPr>
                  <w:jc w:val="both"/>
                  <w:rPr>
                    <w:color w:val="auto"/>
                  </w:rPr>
                </w:pPr>
              </w:p>
              <w:p w14:paraId="602CAE19" w14:textId="1C639541" w:rsidR="00DF4EC0" w:rsidRPr="00CF5433" w:rsidRDefault="00776D3D" w:rsidP="00C37F32">
                <w:pPr>
                  <w:jc w:val="both"/>
                  <w:rPr>
                    <w:color w:val="auto"/>
                  </w:rPr>
                </w:pPr>
                <w:r w:rsidRPr="00CF5433">
                  <w:rPr>
                    <w:color w:val="auto"/>
                  </w:rPr>
                  <w:t>The complex security landscape and recurrent shocks have significantly influenced humanitarian programming. To inform a targeted and responsive intervention strategy, NRC recently conducted a multi-sectoral needs assessment. The findings are now guiding response planning across the consortium, ensuring that programming remains evidence-based and aligned with the evolving vulnerabilities and priorities of affected populations in Adamawa State.</w:t>
                </w:r>
              </w:p>
            </w:tc>
          </w:tr>
          <w:tr w:rsidR="00CF5433" w:rsidRPr="00CF5433" w14:paraId="602CAE22" w14:textId="77777777" w:rsidTr="00BE6762">
            <w:tc>
              <w:tcPr>
                <w:tcW w:w="8152" w:type="dxa"/>
              </w:tcPr>
              <w:p w14:paraId="602CAE21" w14:textId="7A50F694" w:rsidR="00624839" w:rsidRPr="00CF5433" w:rsidRDefault="00C11051" w:rsidP="006C2575">
                <w:pPr>
                  <w:pStyle w:val="Heading2"/>
                  <w:spacing w:before="0" w:after="0"/>
                  <w:rPr>
                    <w:color w:val="auto"/>
                    <w:sz w:val="22"/>
                    <w:szCs w:val="22"/>
                  </w:rPr>
                </w:pPr>
                <w:r w:rsidRPr="00CF5433">
                  <w:rPr>
                    <w:color w:val="auto"/>
                    <w:sz w:val="28"/>
                    <w:szCs w:val="28"/>
                  </w:rPr>
                  <w:t>NRC’s activities and presence</w:t>
                </w:r>
              </w:p>
            </w:tc>
          </w:tr>
          <w:tr w:rsidR="00CF5433" w:rsidRPr="00CF5433" w14:paraId="602CAE28" w14:textId="77777777" w:rsidTr="00BE6762">
            <w:tc>
              <w:tcPr>
                <w:tcW w:w="8152" w:type="dxa"/>
              </w:tcPr>
              <w:p w14:paraId="2D4A0FE0" w14:textId="77777777" w:rsidR="00C46746" w:rsidRPr="00CF5433" w:rsidRDefault="00C46746" w:rsidP="00C37F32">
                <w:pPr>
                  <w:spacing w:before="100" w:beforeAutospacing="1" w:after="100" w:afterAutospacing="1"/>
                  <w:jc w:val="both"/>
                  <w:rPr>
                    <w:color w:val="auto"/>
                  </w:rPr>
                </w:pPr>
                <w:r w:rsidRPr="00CF5433">
                  <w:rPr>
                    <w:color w:val="auto"/>
                  </w:rPr>
                  <w:t>The Emergency to Resilience (E2R) Consortium project is a multi-sectoral humanitarian and early recovery intervention funded by USAID, targeting displacement-affected populations across four Local Government Areas (LGAs) in Adamawa State, Nigeria—namely Yola South, Numan, Michika, and Madagali. Initially planned as a two-year initiative from June 2023 to June 2025, the project experienced a brief interruption following a stop-work order issued by the U.S. Government in January 2025. The implementation timeline was subsequently extended to December 2025 to ensure completion of pending activities and a smooth closeout process.</w:t>
                </w:r>
              </w:p>
              <w:p w14:paraId="0D4FBFA6" w14:textId="153D6E1E" w:rsidR="00C46746" w:rsidRPr="00CF5433" w:rsidRDefault="00C46746" w:rsidP="00C37F32">
                <w:pPr>
                  <w:spacing w:before="100" w:beforeAutospacing="1" w:after="100" w:afterAutospacing="1"/>
                  <w:jc w:val="both"/>
                  <w:rPr>
                    <w:color w:val="auto"/>
                  </w:rPr>
                </w:pPr>
                <w:r w:rsidRPr="00CF5433">
                  <w:rPr>
                    <w:color w:val="auto"/>
                  </w:rPr>
                  <w:t xml:space="preserve">Led by the Norwegian Refugee Council (NRC), the consortium comprises the International Rescue Committee (IRC), Danish Refugee Council (DRC), BBC Media Action, and the Justice, </w:t>
                </w:r>
                <w:r w:rsidRPr="00CF5433">
                  <w:rPr>
                    <w:color w:val="auto"/>
                  </w:rPr>
                  <w:lastRenderedPageBreak/>
                  <w:t xml:space="preserve">Development and Peace Commission (JDPC). The project adopts a layered, </w:t>
                </w:r>
                <w:r w:rsidR="00C37F32" w:rsidRPr="00CF5433">
                  <w:rPr>
                    <w:color w:val="auto"/>
                  </w:rPr>
                  <w:t>multi-sectoral</w:t>
                </w:r>
                <w:r w:rsidRPr="00CF5433">
                  <w:rPr>
                    <w:color w:val="auto"/>
                  </w:rPr>
                  <w:t xml:space="preserve"> approach to address both urgent humanitarian needs and long-term resilience priorities in conflict-affected communities.</w:t>
                </w:r>
              </w:p>
              <w:p w14:paraId="4777EA6B" w14:textId="77777777" w:rsidR="00C46746" w:rsidRPr="00CF5433" w:rsidRDefault="00C46746" w:rsidP="00C37F32">
                <w:pPr>
                  <w:spacing w:before="100" w:beforeAutospacing="1" w:after="100" w:afterAutospacing="1"/>
                  <w:jc w:val="both"/>
                  <w:rPr>
                    <w:color w:val="auto"/>
                  </w:rPr>
                </w:pPr>
                <w:r w:rsidRPr="00CF5433">
                  <w:rPr>
                    <w:color w:val="auto"/>
                  </w:rPr>
                  <w:t>In the Water, Sanitation, and Hygiene (WASH) sector, NRC and IRC have collaboratively provided sustainable water access through borehole rehabilitation, solar-powered upgrades, and capacity building for local water committees. Hygiene promotion, latrine construction, cholera kit distribution, and emergency water supply responses have improved public health conditions, particularly in healthcare settings and displacement camps.</w:t>
                </w:r>
              </w:p>
              <w:p w14:paraId="5E68DDAA" w14:textId="77777777" w:rsidR="00C46746" w:rsidRPr="00CF5433" w:rsidRDefault="00C46746" w:rsidP="00C37F32">
                <w:pPr>
                  <w:spacing w:before="100" w:beforeAutospacing="1" w:after="100" w:afterAutospacing="1"/>
                  <w:jc w:val="both"/>
                  <w:rPr>
                    <w:color w:val="auto"/>
                  </w:rPr>
                </w:pPr>
                <w:r w:rsidRPr="00CF5433">
                  <w:rPr>
                    <w:color w:val="auto"/>
                  </w:rPr>
                  <w:t>Shelter and settlements support, led by NRC, includes the construction of mud shelters, rehabilitation of permanent housing, provision of shelter non-food items (NFIs), and cash-for-rent interventions. These efforts have been critical in restoring dignity and safety to families uprooted by conflict.</w:t>
                </w:r>
              </w:p>
              <w:p w14:paraId="780CB7F1" w14:textId="77777777" w:rsidR="00C46746" w:rsidRPr="00CF5433" w:rsidRDefault="00C46746" w:rsidP="00C37F32">
                <w:pPr>
                  <w:spacing w:before="100" w:beforeAutospacing="1" w:after="100" w:afterAutospacing="1"/>
                  <w:jc w:val="both"/>
                  <w:rPr>
                    <w:color w:val="auto"/>
                  </w:rPr>
                </w:pPr>
                <w:r w:rsidRPr="00CF5433">
                  <w:rPr>
                    <w:color w:val="auto"/>
                  </w:rPr>
                  <w:t>In the health sector, IRC has ensured comprehensive service delivery through clinical consultations, sexual and reproductive health services, and support for communicable and non-communicable diseases. Health facilities have been equipped and rehabilitated, while health workers receive regular training and supervision. Outreach efforts, including risk communication through community health volunteers, have reinforced trust and service utilization among target populations.</w:t>
                </w:r>
              </w:p>
              <w:p w14:paraId="1AF99C0D" w14:textId="77777777" w:rsidR="00C46746" w:rsidRPr="00CF5433" w:rsidRDefault="00C46746" w:rsidP="00C37F32">
                <w:pPr>
                  <w:spacing w:before="100" w:beforeAutospacing="1" w:after="100" w:afterAutospacing="1"/>
                  <w:jc w:val="both"/>
                  <w:rPr>
                    <w:color w:val="auto"/>
                  </w:rPr>
                </w:pPr>
                <w:r w:rsidRPr="00CF5433">
                  <w:rPr>
                    <w:color w:val="auto"/>
                  </w:rPr>
                  <w:t>IRC has also led nutrition interventions, managing both severe and moderate acute malnutrition cases through outpatient therapeutic programs and targeted supplementary feeding. Integrated infant and young child feeding (IYCF) counselling, support group formation, and coordination with local health authorities have strengthened the continuum of care.</w:t>
                </w:r>
              </w:p>
              <w:p w14:paraId="74E4702B" w14:textId="77777777" w:rsidR="00C46746" w:rsidRPr="00CF5433" w:rsidRDefault="00C46746" w:rsidP="00C37F32">
                <w:pPr>
                  <w:spacing w:before="100" w:beforeAutospacing="1" w:after="100" w:afterAutospacing="1"/>
                  <w:jc w:val="both"/>
                  <w:rPr>
                    <w:color w:val="auto"/>
                  </w:rPr>
                </w:pPr>
                <w:r w:rsidRPr="00CF5433">
                  <w:rPr>
                    <w:color w:val="auto"/>
                  </w:rPr>
                  <w:t>In livelihoods and economic recovery, both DRC and NRC have implemented vocational training, business startup support, cash grants, and apprenticeship schemes. Beneficiaries have also been organized into savings and loan groups, enhancing financial inclusion and household resilience. TVET initiatives and the rehabilitation of community assets are equipping individuals and communities with skills and resources for sustainable recovery.</w:t>
                </w:r>
              </w:p>
              <w:p w14:paraId="7AB00C77" w14:textId="77777777" w:rsidR="00C46746" w:rsidRPr="00CF5433" w:rsidRDefault="00C46746" w:rsidP="00C37F32">
                <w:pPr>
                  <w:spacing w:before="100" w:beforeAutospacing="1" w:after="100" w:afterAutospacing="1"/>
                  <w:jc w:val="both"/>
                  <w:rPr>
                    <w:color w:val="auto"/>
                  </w:rPr>
                </w:pPr>
                <w:r w:rsidRPr="00CF5433">
                  <w:rPr>
                    <w:color w:val="auto"/>
                  </w:rPr>
                  <w:t>Protection services are a cornerstone of the E2R strategy. NRC, IRC, and DRC have delivered comprehensive protection programming, including case management, protection monitoring, psychosocial support, community-based protection networks, and access to justice. Specialized services for children and survivors of gender-based violence (GBV) have been implemented, alongside community awareness and legal documentation assistance provided by NRC’s Information, Counselling, and Legal Assistance (ICLA) unit.</w:t>
                </w:r>
              </w:p>
              <w:p w14:paraId="4EDB3255" w14:textId="77777777" w:rsidR="00C46746" w:rsidRPr="00CF5433" w:rsidRDefault="00C46746" w:rsidP="00C37F32">
                <w:pPr>
                  <w:spacing w:before="100" w:beforeAutospacing="1" w:after="100" w:afterAutospacing="1"/>
                  <w:jc w:val="both"/>
                  <w:rPr>
                    <w:color w:val="auto"/>
                  </w:rPr>
                </w:pPr>
                <w:r w:rsidRPr="00CF5433">
                  <w:rPr>
                    <w:color w:val="auto"/>
                  </w:rPr>
                  <w:t>The Justice, Development and Peace Commission (JDPC) has championed peacebuilding and social cohesion initiatives, including community-level advocacy, protection monitoring, small-scale protection initiatives, and the training of local actors to support conflict resolution and early warning mechanisms.</w:t>
                </w:r>
              </w:p>
              <w:p w14:paraId="4A26BF85" w14:textId="77777777" w:rsidR="00C46746" w:rsidRPr="00CF5433" w:rsidRDefault="00C46746" w:rsidP="00C37F32">
                <w:pPr>
                  <w:spacing w:before="100" w:beforeAutospacing="1" w:after="100" w:afterAutospacing="1"/>
                  <w:jc w:val="both"/>
                  <w:rPr>
                    <w:color w:val="auto"/>
                  </w:rPr>
                </w:pPr>
                <w:r w:rsidRPr="00CF5433">
                  <w:rPr>
                    <w:color w:val="auto"/>
                  </w:rPr>
                  <w:t>Agricultural support led by NRC has included training on good agronomic practices, distribution of dry season inputs and kits, post-harvest handling, and the innovative use of e-wallet systems for vendor and input management. These efforts aim to enhance food security while stimulating local economies.</w:t>
                </w:r>
              </w:p>
              <w:p w14:paraId="602CAE27" w14:textId="70B629DF" w:rsidR="007173EC" w:rsidRPr="00CF5433" w:rsidRDefault="00C46746" w:rsidP="00C37F32">
                <w:pPr>
                  <w:spacing w:before="100" w:beforeAutospacing="1" w:after="100" w:afterAutospacing="1"/>
                  <w:jc w:val="both"/>
                  <w:rPr>
                    <w:color w:val="auto"/>
                  </w:rPr>
                </w:pPr>
                <w:r w:rsidRPr="00CF5433">
                  <w:rPr>
                    <w:color w:val="auto"/>
                  </w:rPr>
                  <w:t xml:space="preserve">Overall, the E2R Consortium’s work demonstrates a strategic and people-centered approach to transitioning from emergency response to resilience-building in northeast Nigeria. The project continues to provide life-saving assistance while laying the groundwork for longer-term development, inclusion, and self-reliance for displacement-affected populations. </w:t>
                </w:r>
              </w:p>
            </w:tc>
          </w:tr>
        </w:tbl>
        <w:p w14:paraId="602CAE34" w14:textId="77777777" w:rsidR="00473482" w:rsidRPr="00CF5433" w:rsidRDefault="00C11051" w:rsidP="00C11051">
          <w:pPr>
            <w:pStyle w:val="Heading1"/>
            <w:rPr>
              <w:color w:val="auto"/>
              <w:sz w:val="28"/>
              <w:szCs w:val="28"/>
              <w:lang w:val="en-US"/>
            </w:rPr>
          </w:pPr>
          <w:r w:rsidRPr="00CF5433">
            <w:rPr>
              <w:color w:val="auto"/>
              <w:sz w:val="28"/>
              <w:szCs w:val="28"/>
              <w:lang w:val="en-US"/>
            </w:rPr>
            <w:lastRenderedPageBreak/>
            <w:t>Purpose of the evaluation and intended use</w:t>
          </w:r>
        </w:p>
        <w:tbl>
          <w:tblPr>
            <w:tblStyle w:val="TableGrid"/>
            <w:tblW w:w="0" w:type="auto"/>
            <w:tblLook w:val="04A0" w:firstRow="1" w:lastRow="0" w:firstColumn="1" w:lastColumn="0" w:noHBand="0" w:noVBand="1"/>
          </w:tblPr>
          <w:tblGrid>
            <w:gridCol w:w="8494"/>
          </w:tblGrid>
          <w:tr w:rsidR="00CF5433" w:rsidRPr="00CF5433" w14:paraId="602CAE36" w14:textId="77777777" w:rsidTr="00BE6762">
            <w:tc>
              <w:tcPr>
                <w:tcW w:w="9166" w:type="dxa"/>
              </w:tcPr>
              <w:p w14:paraId="602CAE35" w14:textId="77777777" w:rsidR="00473482" w:rsidRPr="00CF5433" w:rsidRDefault="005D72FB" w:rsidP="006C2575">
                <w:pPr>
                  <w:pStyle w:val="Heading2"/>
                  <w:spacing w:before="0" w:after="0"/>
                  <w:rPr>
                    <w:color w:val="auto"/>
                  </w:rPr>
                </w:pPr>
                <w:r w:rsidRPr="00CF5433">
                  <w:rPr>
                    <w:color w:val="auto"/>
                    <w:sz w:val="28"/>
                    <w:szCs w:val="28"/>
                  </w:rPr>
                  <w:t>O</w:t>
                </w:r>
                <w:r w:rsidR="00C11051" w:rsidRPr="00CF5433">
                  <w:rPr>
                    <w:color w:val="auto"/>
                    <w:sz w:val="28"/>
                    <w:szCs w:val="28"/>
                  </w:rPr>
                  <w:t>verarching purpose</w:t>
                </w:r>
              </w:p>
            </w:tc>
          </w:tr>
          <w:tr w:rsidR="00CF5433" w:rsidRPr="00CF5433" w14:paraId="602CAE3A" w14:textId="77777777" w:rsidTr="00BE6762">
            <w:tc>
              <w:tcPr>
                <w:tcW w:w="9166" w:type="dxa"/>
              </w:tcPr>
              <w:p w14:paraId="1FB2F52B" w14:textId="4D207853" w:rsidR="00503591" w:rsidRPr="00CF5433" w:rsidRDefault="00282ACB" w:rsidP="00282ACB">
                <w:pPr>
                  <w:jc w:val="both"/>
                  <w:rPr>
                    <w:color w:val="auto"/>
                  </w:rPr>
                </w:pPr>
                <w:r w:rsidRPr="00CF5433">
                  <w:rPr>
                    <w:color w:val="auto"/>
                  </w:rPr>
                  <w:t>The endline evaluation</w:t>
                </w:r>
                <w:r w:rsidR="00503591" w:rsidRPr="00CF5433">
                  <w:rPr>
                    <w:color w:val="auto"/>
                  </w:rPr>
                  <w:t xml:space="preserve"> of </w:t>
                </w:r>
                <w:r w:rsidR="00C37F32" w:rsidRPr="00CF5433">
                  <w:rPr>
                    <w:color w:val="auto"/>
                  </w:rPr>
                  <w:t>the Emergency</w:t>
                </w:r>
                <w:r w:rsidRPr="00CF5433">
                  <w:rPr>
                    <w:color w:val="auto"/>
                  </w:rPr>
                  <w:t xml:space="preserve"> to Resilience (E2R) Consortium project</w:t>
                </w:r>
                <w:r w:rsidR="00503591" w:rsidRPr="00CF5433">
                  <w:rPr>
                    <w:color w:val="auto"/>
                  </w:rPr>
                  <w:t xml:space="preserve"> as a critical learning and accountability mechanism</w:t>
                </w:r>
                <w:r w:rsidRPr="00CF5433">
                  <w:rPr>
                    <w:color w:val="auto"/>
                  </w:rPr>
                  <w:t>. It is</w:t>
                </w:r>
                <w:r w:rsidR="00503591" w:rsidRPr="00CF5433">
                  <w:rPr>
                    <w:color w:val="auto"/>
                  </w:rPr>
                  <w:t xml:space="preserve"> </w:t>
                </w:r>
                <w:r w:rsidR="00C37F32" w:rsidRPr="00CF5433">
                  <w:rPr>
                    <w:color w:val="auto"/>
                  </w:rPr>
                  <w:t>designed to</w:t>
                </w:r>
                <w:r w:rsidRPr="00CF5433">
                  <w:rPr>
                    <w:color w:val="auto"/>
                  </w:rPr>
                  <w:t xml:space="preserve"> </w:t>
                </w:r>
                <w:r w:rsidR="00C37F32" w:rsidRPr="00CF5433">
                  <w:rPr>
                    <w:color w:val="auto"/>
                  </w:rPr>
                  <w:t>generate evidence</w:t>
                </w:r>
                <w:r w:rsidRPr="00CF5433">
                  <w:rPr>
                    <w:color w:val="auto"/>
                  </w:rPr>
                  <w:t xml:space="preserve">-based insights </w:t>
                </w:r>
                <w:r w:rsidR="00503591" w:rsidRPr="00CF5433">
                  <w:rPr>
                    <w:color w:val="auto"/>
                  </w:rPr>
                  <w:t xml:space="preserve">on </w:t>
                </w:r>
                <w:r w:rsidRPr="00CF5433">
                  <w:rPr>
                    <w:color w:val="auto"/>
                  </w:rPr>
                  <w:t>the project’s effectiveness, efficiency, relevance, coherence, sustainability, and impact</w:t>
                </w:r>
                <w:r w:rsidR="00503591" w:rsidRPr="00CF5433">
                  <w:rPr>
                    <w:color w:val="auto"/>
                  </w:rPr>
                  <w:t xml:space="preserve"> across its multi-sectoral interventions</w:t>
                </w:r>
                <w:r w:rsidRPr="00CF5433">
                  <w:rPr>
                    <w:color w:val="auto"/>
                  </w:rPr>
                  <w:t xml:space="preserve">. </w:t>
                </w:r>
              </w:p>
              <w:p w14:paraId="1BC2AD62" w14:textId="0BD323B8" w:rsidR="00503591" w:rsidRPr="00CF5433" w:rsidRDefault="00503591" w:rsidP="00282ACB">
                <w:pPr>
                  <w:jc w:val="both"/>
                  <w:rPr>
                    <w:color w:val="auto"/>
                  </w:rPr>
                </w:pPr>
                <w:r w:rsidRPr="00CF5433">
                  <w:rPr>
                    <w:color w:val="auto"/>
                  </w:rPr>
                  <w:t>The evaluation will assess performance against the project’s stated objectives and indicators, offering an independent and objective review of both achievements and gaps.</w:t>
                </w:r>
              </w:p>
              <w:p w14:paraId="65BD2127" w14:textId="77777777" w:rsidR="00503591" w:rsidRPr="00CF5433" w:rsidRDefault="00503591" w:rsidP="00282ACB">
                <w:pPr>
                  <w:jc w:val="both"/>
                  <w:rPr>
                    <w:color w:val="auto"/>
                  </w:rPr>
                </w:pPr>
              </w:p>
              <w:p w14:paraId="53D2DE38" w14:textId="45CCC23C" w:rsidR="00503591" w:rsidRPr="00CF5433" w:rsidRDefault="00503591" w:rsidP="00503591">
                <w:pPr>
                  <w:jc w:val="both"/>
                  <w:rPr>
                    <w:color w:val="auto"/>
                  </w:rPr>
                </w:pPr>
                <w:r w:rsidRPr="00CF5433">
                  <w:rPr>
                    <w:color w:val="auto"/>
                  </w:rPr>
                  <w:t>F</w:t>
                </w:r>
                <w:r w:rsidR="00282ACB" w:rsidRPr="00CF5433">
                  <w:rPr>
                    <w:color w:val="auto"/>
                  </w:rPr>
                  <w:t xml:space="preserve">indings </w:t>
                </w:r>
                <w:r w:rsidRPr="00CF5433">
                  <w:rPr>
                    <w:color w:val="auto"/>
                  </w:rPr>
                  <w:t xml:space="preserve">from this exercise inform learning and adapting programming, helping </w:t>
                </w:r>
                <w:r w:rsidR="00C37F32" w:rsidRPr="00CF5433">
                  <w:rPr>
                    <w:color w:val="auto"/>
                  </w:rPr>
                  <w:t>the consortium</w:t>
                </w:r>
                <w:r w:rsidR="00282ACB" w:rsidRPr="00CF5433">
                  <w:rPr>
                    <w:color w:val="auto"/>
                  </w:rPr>
                  <w:t xml:space="preserve"> partners and stakeholders </w:t>
                </w:r>
                <w:r w:rsidRPr="00CF5433">
                  <w:rPr>
                    <w:color w:val="auto"/>
                  </w:rPr>
                  <w:t>understand</w:t>
                </w:r>
                <w:r w:rsidR="00282ACB" w:rsidRPr="00CF5433">
                  <w:rPr>
                    <w:color w:val="auto"/>
                  </w:rPr>
                  <w:t xml:space="preserve"> what worked well, </w:t>
                </w:r>
                <w:r w:rsidRPr="00CF5433">
                  <w:rPr>
                    <w:color w:val="auto"/>
                  </w:rPr>
                  <w:t xml:space="preserve">what didn’t and </w:t>
                </w:r>
                <w:r w:rsidR="00C37F32" w:rsidRPr="00CF5433">
                  <w:rPr>
                    <w:color w:val="auto"/>
                  </w:rPr>
                  <w:t>why.</w:t>
                </w:r>
                <w:r w:rsidR="00282ACB" w:rsidRPr="00CF5433">
                  <w:rPr>
                    <w:color w:val="auto"/>
                  </w:rPr>
                  <w:t xml:space="preserve"> </w:t>
                </w:r>
                <w:r w:rsidRPr="00CF5433">
                  <w:rPr>
                    <w:color w:val="auto"/>
                  </w:rPr>
                  <w:t>This knowledge will be instrumental in refining future humanitarian and development interventions in similar contexts, especially those operating under the humanitarian-development-peace (HDP) nexus.</w:t>
                </w:r>
              </w:p>
              <w:p w14:paraId="4EE47BF0" w14:textId="77777777" w:rsidR="00503591" w:rsidRPr="00CF5433" w:rsidRDefault="00503591" w:rsidP="00503591">
                <w:pPr>
                  <w:jc w:val="both"/>
                  <w:rPr>
                    <w:color w:val="auto"/>
                  </w:rPr>
                </w:pPr>
              </w:p>
              <w:p w14:paraId="114DE6D6" w14:textId="3F5E488B" w:rsidR="00503591" w:rsidRPr="00CF5433" w:rsidRDefault="00282ACB" w:rsidP="00503591">
                <w:pPr>
                  <w:jc w:val="both"/>
                  <w:rPr>
                    <w:color w:val="auto"/>
                  </w:rPr>
                </w:pPr>
                <w:r w:rsidRPr="00CF5433">
                  <w:rPr>
                    <w:color w:val="auto"/>
                  </w:rPr>
                  <w:t>In addition</w:t>
                </w:r>
                <w:r w:rsidR="00503591" w:rsidRPr="00CF5433">
                  <w:rPr>
                    <w:color w:val="auto"/>
                  </w:rPr>
                  <w:t xml:space="preserve"> to learning</w:t>
                </w:r>
                <w:r w:rsidRPr="00CF5433">
                  <w:rPr>
                    <w:color w:val="auto"/>
                  </w:rPr>
                  <w:t xml:space="preserve"> the evaluation </w:t>
                </w:r>
                <w:r w:rsidR="00503591" w:rsidRPr="00CF5433">
                  <w:rPr>
                    <w:color w:val="auto"/>
                  </w:rPr>
                  <w:t xml:space="preserve">supports accountability to a wide range of </w:t>
                </w:r>
                <w:r w:rsidRPr="00CF5433">
                  <w:rPr>
                    <w:color w:val="auto"/>
                  </w:rPr>
                  <w:t xml:space="preserve">key stakeholders including the donor (USAID/BHA), government partners, implementing organizations, and the communities served. </w:t>
                </w:r>
                <w:r w:rsidR="00503591" w:rsidRPr="00CF5433">
                  <w:rPr>
                    <w:color w:val="auto"/>
                  </w:rPr>
                  <w:t>. It will enhance transparency and results-based management by documenting project contributions and areas needing improvement.</w:t>
                </w:r>
              </w:p>
              <w:p w14:paraId="749D6BCB" w14:textId="77777777" w:rsidR="00503591" w:rsidRPr="00CF5433" w:rsidRDefault="00503591" w:rsidP="00503591">
                <w:pPr>
                  <w:jc w:val="both"/>
                  <w:rPr>
                    <w:color w:val="auto"/>
                  </w:rPr>
                </w:pPr>
              </w:p>
              <w:p w14:paraId="4BD0DEB6" w14:textId="3924E5BA" w:rsidR="00503591" w:rsidRPr="00CF5433" w:rsidRDefault="00503591" w:rsidP="00503591">
                <w:pPr>
                  <w:jc w:val="both"/>
                  <w:rPr>
                    <w:color w:val="auto"/>
                  </w:rPr>
                </w:pPr>
                <w:r w:rsidRPr="00CF5433">
                  <w:rPr>
                    <w:color w:val="auto"/>
                  </w:rPr>
                  <w:t>Furthermore, the evaluation is expected to contribute to strategic decision-making across the consortium. It will generate actionable evidence that partners can use to improve the design and delivery of multi-sectoral programming. In parallel, the findings will strengthen policy dialogue and advocacy efforts, particularly on sensitive issues such as gender-based violence (GBV) prevention and response, housing, land, and property (HLP) rights, and livelihood recovery for displacement-affected populations.</w:t>
                </w:r>
              </w:p>
              <w:p w14:paraId="602CAE39" w14:textId="4EA62127" w:rsidR="005D72FB" w:rsidRPr="00CF5433" w:rsidRDefault="005D72FB" w:rsidP="00503591">
                <w:pPr>
                  <w:jc w:val="both"/>
                  <w:rPr>
                    <w:color w:val="auto"/>
                  </w:rPr>
                </w:pPr>
              </w:p>
            </w:tc>
          </w:tr>
          <w:tr w:rsidR="00CF5433" w:rsidRPr="00CF5433" w14:paraId="602CAE3C" w14:textId="77777777" w:rsidTr="006C2575">
            <w:trPr>
              <w:trHeight w:val="404"/>
            </w:trPr>
            <w:tc>
              <w:tcPr>
                <w:tcW w:w="9166" w:type="dxa"/>
              </w:tcPr>
              <w:p w14:paraId="602CAE3B" w14:textId="77777777" w:rsidR="005D72FB" w:rsidRPr="00CF5433" w:rsidRDefault="005D72FB" w:rsidP="006C2575">
                <w:pPr>
                  <w:pStyle w:val="Heading2"/>
                  <w:spacing w:before="0" w:after="0"/>
                  <w:rPr>
                    <w:color w:val="auto"/>
                  </w:rPr>
                </w:pPr>
                <w:r w:rsidRPr="00CF5433">
                  <w:rPr>
                    <w:color w:val="auto"/>
                    <w:sz w:val="28"/>
                    <w:szCs w:val="28"/>
                  </w:rPr>
                  <w:t>How will the evaluation be used?</w:t>
                </w:r>
              </w:p>
            </w:tc>
          </w:tr>
          <w:tr w:rsidR="00CF5433" w:rsidRPr="00CF5433" w14:paraId="602CAE40" w14:textId="77777777" w:rsidTr="00BE6762">
            <w:tc>
              <w:tcPr>
                <w:tcW w:w="9166" w:type="dxa"/>
              </w:tcPr>
              <w:p w14:paraId="2571E0E7" w14:textId="0A28C4FC" w:rsidR="00BB53C9" w:rsidRPr="00CF5433" w:rsidRDefault="00425781" w:rsidP="00C37F32">
                <w:pPr>
                  <w:spacing w:before="100" w:beforeAutospacing="1" w:after="100" w:afterAutospacing="1"/>
                  <w:jc w:val="both"/>
                  <w:rPr>
                    <w:color w:val="auto"/>
                  </w:rPr>
                </w:pPr>
                <w:r w:rsidRPr="00CF5433">
                  <w:rPr>
                    <w:color w:val="auto"/>
                  </w:rPr>
                  <w:t xml:space="preserve">The endline evaluation will be used to assess the overall performance of the E2R Consortium project in achieving its intended objectives, outcomes, and impact. It will serve as a critical learning </w:t>
                </w:r>
                <w:r w:rsidR="00BB53C9" w:rsidRPr="00CF5433">
                  <w:rPr>
                    <w:color w:val="auto"/>
                  </w:rPr>
                  <w:t xml:space="preserve">and adaptation support </w:t>
                </w:r>
                <w:r w:rsidRPr="00CF5433">
                  <w:rPr>
                    <w:color w:val="auto"/>
                  </w:rPr>
                  <w:t xml:space="preserve">tool for consortium partners, </w:t>
                </w:r>
                <w:r w:rsidR="00BB53C9" w:rsidRPr="00CF5433">
                  <w:rPr>
                    <w:color w:val="auto"/>
                  </w:rPr>
                  <w:t xml:space="preserve">offering a structured opportunity </w:t>
                </w:r>
                <w:r w:rsidR="00C37F32" w:rsidRPr="00CF5433">
                  <w:rPr>
                    <w:color w:val="auto"/>
                  </w:rPr>
                  <w:t>to reflect</w:t>
                </w:r>
                <w:r w:rsidRPr="00CF5433">
                  <w:rPr>
                    <w:color w:val="auto"/>
                  </w:rPr>
                  <w:t xml:space="preserve"> on what worked well, what did not, </w:t>
                </w:r>
                <w:r w:rsidR="00BB53C9" w:rsidRPr="00CF5433">
                  <w:rPr>
                    <w:color w:val="auto"/>
                  </w:rPr>
                  <w:t>and the underlying reasons behind these outcomes.</w:t>
                </w:r>
              </w:p>
              <w:p w14:paraId="602CAE3E" w14:textId="2E9485D4" w:rsidR="005D72FB" w:rsidRPr="00CF5433" w:rsidRDefault="00BB53C9" w:rsidP="00C37F32">
                <w:pPr>
                  <w:jc w:val="both"/>
                  <w:rPr>
                    <w:color w:val="auto"/>
                  </w:rPr>
                </w:pPr>
                <w:r w:rsidRPr="00CF5433">
                  <w:rPr>
                    <w:color w:val="auto"/>
                  </w:rPr>
                  <w:t>The evaluation f</w:t>
                </w:r>
                <w:r w:rsidR="00425781" w:rsidRPr="00CF5433">
                  <w:rPr>
                    <w:color w:val="auto"/>
                  </w:rPr>
                  <w:t>indings will inform evidence-based decision-making for future programming and adaptive management</w:t>
                </w:r>
                <w:r w:rsidRPr="00CF5433">
                  <w:rPr>
                    <w:color w:val="auto"/>
                  </w:rPr>
                  <w:t xml:space="preserve"> and strategic direction across similar humanitarian and development interventions</w:t>
                </w:r>
                <w:r w:rsidR="00425781" w:rsidRPr="00CF5433">
                  <w:rPr>
                    <w:color w:val="auto"/>
                  </w:rPr>
                  <w:t xml:space="preserve">. </w:t>
                </w:r>
                <w:r w:rsidR="00AE74E2" w:rsidRPr="00CF5433">
                  <w:rPr>
                    <w:color w:val="auto"/>
                  </w:rPr>
                  <w:t>The</w:t>
                </w:r>
                <w:r w:rsidR="00425781" w:rsidRPr="00CF5433">
                  <w:rPr>
                    <w:color w:val="auto"/>
                  </w:rPr>
                  <w:t xml:space="preserve"> findings will be shared through learning events and strategic engagements to promote knowledge sharing and continuous improvement among stakeholders.</w:t>
                </w:r>
              </w:p>
              <w:p w14:paraId="602CAE3F" w14:textId="32DF1CEE" w:rsidR="005D72FB" w:rsidRPr="00CF5433" w:rsidRDefault="00BB53C9" w:rsidP="00C37F32">
                <w:pPr>
                  <w:spacing w:before="100" w:beforeAutospacing="1" w:after="100" w:afterAutospacing="1"/>
                  <w:jc w:val="both"/>
                  <w:rPr>
                    <w:color w:val="auto"/>
                  </w:rPr>
                </w:pPr>
                <w:r w:rsidRPr="00CF5433">
                  <w:rPr>
                    <w:color w:val="auto"/>
                  </w:rPr>
                  <w:t>To ensure broad utility and uptake, the findings will be disseminated through targeted strategic engagement forums. This will promote knowledge sharing, continuous improvement, and informed advocacy among implementing partners, donors, government actors, and community stakeholders.</w:t>
                </w:r>
              </w:p>
            </w:tc>
          </w:tr>
          <w:tr w:rsidR="00CF5433" w:rsidRPr="00CF5433" w14:paraId="602CAE42" w14:textId="77777777" w:rsidTr="00BE6762">
            <w:tc>
              <w:tcPr>
                <w:tcW w:w="9166" w:type="dxa"/>
              </w:tcPr>
              <w:p w14:paraId="602CAE41" w14:textId="77777777" w:rsidR="005D72FB" w:rsidRPr="00CF5433" w:rsidRDefault="005D72FB" w:rsidP="006C2575">
                <w:pPr>
                  <w:pStyle w:val="Heading2"/>
                  <w:spacing w:before="0" w:after="0"/>
                  <w:rPr>
                    <w:b/>
                    <w:bCs/>
                    <w:color w:val="auto"/>
                  </w:rPr>
                </w:pPr>
                <w:r w:rsidRPr="00CF5433">
                  <w:rPr>
                    <w:b/>
                    <w:bCs/>
                    <w:color w:val="auto"/>
                    <w:sz w:val="28"/>
                    <w:szCs w:val="28"/>
                  </w:rPr>
                  <w:t>Who will it be used by?</w:t>
                </w:r>
              </w:p>
            </w:tc>
          </w:tr>
          <w:tr w:rsidR="005D72FB" w:rsidRPr="00CF5433" w14:paraId="602CAE46" w14:textId="77777777" w:rsidTr="00BE6762">
            <w:tc>
              <w:tcPr>
                <w:tcW w:w="9166" w:type="dxa"/>
              </w:tcPr>
              <w:p w14:paraId="602CAE43" w14:textId="406C7B97" w:rsidR="005D72FB" w:rsidRPr="00CF5433" w:rsidRDefault="00A77725" w:rsidP="00A77725">
                <w:pPr>
                  <w:jc w:val="both"/>
                  <w:rPr>
                    <w:color w:val="auto"/>
                  </w:rPr>
                </w:pPr>
                <w:r w:rsidRPr="00CF5433">
                  <w:rPr>
                    <w:color w:val="auto"/>
                  </w:rPr>
                  <w:t xml:space="preserve">The evaluation findings will primarily be used by the E2R Consortium partners including NRC, DRC, IRC, JDPC, and BBC Media Action to assess performance and inform the design and implementation of future interventions. </w:t>
                </w:r>
                <w:r w:rsidR="004829B9" w:rsidRPr="00CF5433">
                  <w:rPr>
                    <w:color w:val="auto"/>
                  </w:rPr>
                  <w:t>The donor</w:t>
                </w:r>
                <w:r w:rsidRPr="00CF5433">
                  <w:rPr>
                    <w:color w:val="auto"/>
                  </w:rPr>
                  <w:t xml:space="preserve"> will also use the findings to evaluate the effectiveness and impact of it</w:t>
                </w:r>
                <w:r w:rsidR="006A7468" w:rsidRPr="00CF5433">
                  <w:rPr>
                    <w:color w:val="auto"/>
                  </w:rPr>
                  <w:t>s funding</w:t>
                </w:r>
                <w:r w:rsidRPr="00CF5433">
                  <w:rPr>
                    <w:color w:val="auto"/>
                  </w:rPr>
                  <w:t>, and to guide future funding decisions. Government stakeholders will benefit from the evaluation to strengthen coordination, policy influence, and integration of best practices. Additionally, the evaluation will be useful for other humanitarian actors working in similar contexts, who may apply lessons learned and recommendations to improve program relevance, accountability, and sustainability.</w:t>
                </w:r>
              </w:p>
              <w:p w14:paraId="602CAE45" w14:textId="77777777" w:rsidR="005D72FB" w:rsidRPr="00CF5433" w:rsidRDefault="005D72FB" w:rsidP="00F4334C">
                <w:pPr>
                  <w:jc w:val="both"/>
                  <w:rPr>
                    <w:color w:val="auto"/>
                  </w:rPr>
                </w:pPr>
              </w:p>
            </w:tc>
          </w:tr>
        </w:tbl>
        <w:p w14:paraId="602CAE47" w14:textId="77777777" w:rsidR="00473482" w:rsidRPr="00CF5433" w:rsidRDefault="00473482" w:rsidP="00473482">
          <w:pPr>
            <w:jc w:val="both"/>
            <w:rPr>
              <w:rFonts w:ascii="Calibri" w:hAnsi="Calibri" w:cs="Calibri"/>
              <w:color w:val="auto"/>
              <w:highlight w:val="yellow"/>
            </w:rPr>
          </w:pPr>
        </w:p>
        <w:p w14:paraId="602CAE48" w14:textId="77777777" w:rsidR="00C11051" w:rsidRPr="00CF5433" w:rsidRDefault="00C11051" w:rsidP="00C11051">
          <w:pPr>
            <w:pStyle w:val="Heading1"/>
            <w:rPr>
              <w:color w:val="auto"/>
              <w:sz w:val="28"/>
              <w:szCs w:val="28"/>
              <w:lang w:val="en-US"/>
            </w:rPr>
          </w:pPr>
          <w:r w:rsidRPr="00CF5433">
            <w:rPr>
              <w:color w:val="auto"/>
              <w:sz w:val="28"/>
              <w:szCs w:val="28"/>
              <w:lang w:val="en-US"/>
            </w:rPr>
            <w:lastRenderedPageBreak/>
            <w:t>Scope and lines of inquiry</w:t>
          </w:r>
        </w:p>
        <w:tbl>
          <w:tblPr>
            <w:tblStyle w:val="TableGrid"/>
            <w:tblW w:w="0" w:type="auto"/>
            <w:tblLook w:val="04A0" w:firstRow="1" w:lastRow="0" w:firstColumn="1" w:lastColumn="0" w:noHBand="0" w:noVBand="1"/>
          </w:tblPr>
          <w:tblGrid>
            <w:gridCol w:w="8494"/>
          </w:tblGrid>
          <w:tr w:rsidR="00CF5433" w:rsidRPr="00CF5433" w14:paraId="602CAE4B" w14:textId="77777777" w:rsidTr="006C2575">
            <w:tc>
              <w:tcPr>
                <w:tcW w:w="8494" w:type="dxa"/>
              </w:tcPr>
              <w:p w14:paraId="602CAE4A" w14:textId="3516C5DB" w:rsidR="00C11051" w:rsidRPr="00CF5433" w:rsidRDefault="00C11051" w:rsidP="006C2575">
                <w:pPr>
                  <w:pStyle w:val="Heading2"/>
                  <w:spacing w:before="0" w:after="0"/>
                  <w:rPr>
                    <w:color w:val="auto"/>
                  </w:rPr>
                </w:pPr>
                <w:r w:rsidRPr="00CF5433">
                  <w:rPr>
                    <w:color w:val="auto"/>
                    <w:sz w:val="28"/>
                    <w:szCs w:val="28"/>
                  </w:rPr>
                  <w:t>Scope:</w:t>
                </w:r>
              </w:p>
            </w:tc>
          </w:tr>
          <w:tr w:rsidR="00CF5433" w:rsidRPr="00CF5433" w14:paraId="602CAE51" w14:textId="77777777" w:rsidTr="006C2575">
            <w:tc>
              <w:tcPr>
                <w:tcW w:w="8494" w:type="dxa"/>
              </w:tcPr>
              <w:p w14:paraId="2FFBA9EC" w14:textId="1BCE4D15" w:rsidR="00AD6D6C" w:rsidRPr="00CF5433" w:rsidRDefault="00033A75" w:rsidP="00AD6D6C">
                <w:pPr>
                  <w:spacing w:before="100" w:beforeAutospacing="1" w:after="100" w:afterAutospacing="1"/>
                  <w:rPr>
                    <w:rFonts w:ascii="Times New Roman" w:eastAsia="Times New Roman" w:hAnsi="Times New Roman" w:cs="Times New Roman"/>
                    <w:color w:val="auto"/>
                    <w:sz w:val="24"/>
                    <w:szCs w:val="24"/>
                    <w:lang w:val="en-US"/>
                  </w:rPr>
                </w:pPr>
                <w:r w:rsidRPr="00CF5433">
                  <w:rPr>
                    <w:color w:val="auto"/>
                  </w:rPr>
                  <w:t xml:space="preserve">The endline evaluation will cover the </w:t>
                </w:r>
                <w:r w:rsidR="00BB53C9" w:rsidRPr="00CF5433">
                  <w:rPr>
                    <w:color w:val="auto"/>
                  </w:rPr>
                  <w:t xml:space="preserve">full duration of the </w:t>
                </w:r>
                <w:r w:rsidRPr="00CF5433">
                  <w:rPr>
                    <w:color w:val="auto"/>
                  </w:rPr>
                  <w:t>E2</w:t>
                </w:r>
                <w:r w:rsidR="00604189" w:rsidRPr="00CF5433">
                  <w:rPr>
                    <w:color w:val="auto"/>
                  </w:rPr>
                  <w:t>R</w:t>
                </w:r>
                <w:r w:rsidRPr="00CF5433">
                  <w:rPr>
                    <w:color w:val="auto"/>
                  </w:rPr>
                  <w:t xml:space="preserve"> Consortium project, from its inception in June 2023 through </w:t>
                </w:r>
                <w:r w:rsidR="00BB53C9" w:rsidRPr="00CF5433">
                  <w:rPr>
                    <w:color w:val="auto"/>
                  </w:rPr>
                  <w:t>through the revised end date of December 2025.</w:t>
                </w:r>
                <w:r w:rsidRPr="00CF5433">
                  <w:rPr>
                    <w:color w:val="auto"/>
                  </w:rPr>
                  <w:t xml:space="preserve">The evaluation </w:t>
                </w:r>
                <w:r w:rsidR="00AD6D6C" w:rsidRPr="00CF5433">
                  <w:rPr>
                    <w:color w:val="auto"/>
                  </w:rPr>
                  <w:t xml:space="preserve">is scheduled to take place </w:t>
                </w:r>
                <w:r w:rsidR="00C37F32" w:rsidRPr="00CF5433">
                  <w:rPr>
                    <w:color w:val="auto"/>
                  </w:rPr>
                  <w:t>between November</w:t>
                </w:r>
                <w:r w:rsidRPr="00CF5433">
                  <w:rPr>
                    <w:color w:val="auto"/>
                  </w:rPr>
                  <w:t xml:space="preserve"> </w:t>
                </w:r>
                <w:r w:rsidR="00627F33" w:rsidRPr="00CF5433">
                  <w:rPr>
                    <w:color w:val="auto"/>
                  </w:rPr>
                  <w:t>to December 2025</w:t>
                </w:r>
                <w:r w:rsidRPr="00CF5433">
                  <w:rPr>
                    <w:color w:val="auto"/>
                  </w:rPr>
                  <w:t>.</w:t>
                </w:r>
                <w:r w:rsidR="00604189" w:rsidRPr="00CF5433">
                  <w:rPr>
                    <w:color w:val="auto"/>
                  </w:rPr>
                  <w:t xml:space="preserve"> </w:t>
                </w:r>
                <w:r w:rsidRPr="00CF5433">
                  <w:rPr>
                    <w:color w:val="auto"/>
                  </w:rPr>
                  <w:t xml:space="preserve">Geographically, the evaluation will </w:t>
                </w:r>
                <w:r w:rsidR="00AD6D6C" w:rsidRPr="00CF5433">
                  <w:rPr>
                    <w:color w:val="auto"/>
                  </w:rPr>
                  <w:t xml:space="preserve">cover </w:t>
                </w:r>
                <w:r w:rsidRPr="00CF5433">
                  <w:rPr>
                    <w:color w:val="auto"/>
                  </w:rPr>
                  <w:t xml:space="preserve">implementation areas </w:t>
                </w:r>
                <w:r w:rsidR="00AD6D6C" w:rsidRPr="00CF5433">
                  <w:rPr>
                    <w:color w:val="auto"/>
                  </w:rPr>
                  <w:t>across s</w:t>
                </w:r>
                <w:r w:rsidRPr="00CF5433">
                  <w:rPr>
                    <w:color w:val="auto"/>
                  </w:rPr>
                  <w:t xml:space="preserve"> Adamawa State</w:t>
                </w:r>
                <w:r w:rsidR="00AD6D6C" w:rsidRPr="00CF5433">
                  <w:rPr>
                    <w:color w:val="auto"/>
                  </w:rPr>
                  <w:t xml:space="preserve"> (LGAs)</w:t>
                </w:r>
                <w:r w:rsidRPr="00CF5433">
                  <w:rPr>
                    <w:color w:val="auto"/>
                  </w:rPr>
                  <w:t xml:space="preserve">, </w:t>
                </w:r>
                <w:r w:rsidR="00AD6D6C" w:rsidRPr="00CF5433">
                  <w:rPr>
                    <w:color w:val="auto"/>
                  </w:rPr>
                  <w:t>where consortium partners have delivered sector-specific interventions: Yola South, Numan, Michika, and Madagali.</w:t>
                </w:r>
              </w:p>
              <w:p w14:paraId="602CAE50" w14:textId="281D4EFF" w:rsidR="00BB53C9" w:rsidRPr="00CF5433" w:rsidRDefault="00033A75" w:rsidP="00AD6D6C">
                <w:pPr>
                  <w:jc w:val="both"/>
                  <w:rPr>
                    <w:color w:val="auto"/>
                  </w:rPr>
                </w:pPr>
                <w:r w:rsidRPr="00CF5433">
                  <w:rPr>
                    <w:color w:val="auto"/>
                  </w:rPr>
                  <w:t xml:space="preserve">This evaluation </w:t>
                </w:r>
                <w:r w:rsidR="00AD6D6C" w:rsidRPr="00CF5433">
                  <w:rPr>
                    <w:color w:val="auto"/>
                  </w:rPr>
                  <w:t xml:space="preserve">will encompass </w:t>
                </w:r>
                <w:r w:rsidRPr="00CF5433">
                  <w:rPr>
                    <w:color w:val="auto"/>
                  </w:rPr>
                  <w:t xml:space="preserve">the </w:t>
                </w:r>
                <w:r w:rsidR="00C37F32" w:rsidRPr="00CF5433">
                  <w:rPr>
                    <w:color w:val="auto"/>
                  </w:rPr>
                  <w:t>entire scope</w:t>
                </w:r>
                <w:r w:rsidRPr="00CF5433">
                  <w:rPr>
                    <w:color w:val="auto"/>
                  </w:rPr>
                  <w:t xml:space="preserve"> of the E2R project funded by USAID's Bureau for Humanitarian Assistance (BHA)</w:t>
                </w:r>
                <w:r w:rsidR="00B327EB" w:rsidRPr="00CF5433">
                  <w:rPr>
                    <w:color w:val="auto"/>
                  </w:rPr>
                  <w:t xml:space="preserve">. </w:t>
                </w:r>
                <w:r w:rsidRPr="00CF5433">
                  <w:rPr>
                    <w:color w:val="auto"/>
                  </w:rPr>
                  <w:t xml:space="preserve">It will assess </w:t>
                </w:r>
                <w:r w:rsidR="00AD6D6C" w:rsidRPr="00CF5433">
                  <w:rPr>
                    <w:color w:val="auto"/>
                  </w:rPr>
                  <w:t xml:space="preserve">project </w:t>
                </w:r>
                <w:r w:rsidRPr="00CF5433">
                  <w:rPr>
                    <w:color w:val="auto"/>
                  </w:rPr>
                  <w:t xml:space="preserve">performance across sectors including Protection, </w:t>
                </w:r>
                <w:r w:rsidR="00A60026" w:rsidRPr="00CF5433">
                  <w:rPr>
                    <w:color w:val="auto"/>
                  </w:rPr>
                  <w:t xml:space="preserve">Shelter, </w:t>
                </w:r>
                <w:r w:rsidRPr="00CF5433">
                  <w:rPr>
                    <w:color w:val="auto"/>
                  </w:rPr>
                  <w:t xml:space="preserve">Livelihoods and Economic Recovery (ERMS), Agriculture, WASH, </w:t>
                </w:r>
                <w:r w:rsidR="00B327EB" w:rsidRPr="00CF5433">
                  <w:rPr>
                    <w:color w:val="auto"/>
                  </w:rPr>
                  <w:t xml:space="preserve">Nutrition </w:t>
                </w:r>
                <w:r w:rsidRPr="00CF5433">
                  <w:rPr>
                    <w:color w:val="auto"/>
                  </w:rPr>
                  <w:t>and Health.</w:t>
                </w:r>
              </w:p>
            </w:tc>
          </w:tr>
          <w:tr w:rsidR="00CF5433" w:rsidRPr="00CF5433" w14:paraId="602CAE54" w14:textId="77777777" w:rsidTr="006C2575">
            <w:tc>
              <w:tcPr>
                <w:tcW w:w="8494" w:type="dxa"/>
              </w:tcPr>
              <w:p w14:paraId="602CAE53" w14:textId="28A14B3D" w:rsidR="005D72FB" w:rsidRPr="00CF5433" w:rsidRDefault="005D72FB" w:rsidP="006C2575">
                <w:pPr>
                  <w:pStyle w:val="Heading2"/>
                  <w:spacing w:before="0" w:after="0"/>
                  <w:rPr>
                    <w:color w:val="auto"/>
                  </w:rPr>
                </w:pPr>
                <w:r w:rsidRPr="00CF5433">
                  <w:rPr>
                    <w:color w:val="auto"/>
                    <w:sz w:val="28"/>
                    <w:szCs w:val="28"/>
                  </w:rPr>
                  <w:t>Lines of inquiry</w:t>
                </w:r>
              </w:p>
            </w:tc>
          </w:tr>
          <w:tr w:rsidR="00CF5433" w:rsidRPr="00CF5433" w14:paraId="602CAE5E" w14:textId="77777777" w:rsidTr="006C2575">
            <w:tc>
              <w:tcPr>
                <w:tcW w:w="8494" w:type="dxa"/>
              </w:tcPr>
              <w:p w14:paraId="1EF92F0D" w14:textId="2302BD47" w:rsidR="00AD6D6C" w:rsidRPr="00CF5433" w:rsidRDefault="00AD6D6C" w:rsidP="00C37F32">
                <w:pPr>
                  <w:jc w:val="both"/>
                  <w:rPr>
                    <w:color w:val="auto"/>
                  </w:rPr>
                </w:pPr>
                <w:r w:rsidRPr="00CF5433">
                  <w:rPr>
                    <w:color w:val="auto"/>
                  </w:rPr>
                  <w:t>The endline evaluation will be guided by the OECD-DAC criteria—Relevance, Coherence, Effectiveness, Efficiency, Impact, and Sustainability. Key lines of inquiry include:</w:t>
                </w:r>
              </w:p>
              <w:p w14:paraId="7705AA26" w14:textId="77777777" w:rsidR="00AD6D6C" w:rsidRPr="00CF5433" w:rsidRDefault="00AD6D6C" w:rsidP="00C37F32">
                <w:pPr>
                  <w:jc w:val="both"/>
                  <w:rPr>
                    <w:color w:val="auto"/>
                  </w:rPr>
                </w:pPr>
              </w:p>
              <w:p w14:paraId="2DDA73F1" w14:textId="2B8AEBF7" w:rsidR="00AD6D6C" w:rsidRPr="00CF5433" w:rsidRDefault="00AD6D6C" w:rsidP="00C37F32">
                <w:pPr>
                  <w:jc w:val="both"/>
                  <w:rPr>
                    <w:color w:val="auto"/>
                  </w:rPr>
                </w:pPr>
                <w:r w:rsidRPr="00CF5433">
                  <w:rPr>
                    <w:color w:val="auto"/>
                  </w:rPr>
                  <w:t xml:space="preserve">Relevance </w:t>
                </w:r>
              </w:p>
              <w:p w14:paraId="09FF095C" w14:textId="77777777" w:rsidR="00AD6D6C" w:rsidRPr="00CF5433" w:rsidRDefault="0073749A" w:rsidP="0093344D">
                <w:pPr>
                  <w:pStyle w:val="ListParagraph"/>
                  <w:numPr>
                    <w:ilvl w:val="0"/>
                    <w:numId w:val="7"/>
                  </w:numPr>
                  <w:spacing w:after="0"/>
                  <w:jc w:val="both"/>
                  <w:rPr>
                    <w:color w:val="auto"/>
                  </w:rPr>
                </w:pPr>
                <w:r w:rsidRPr="00CF5433">
                  <w:rPr>
                    <w:color w:val="auto"/>
                  </w:rPr>
                  <w:t xml:space="preserve">To what extent did the initiative deliver against the needs of key stakeholders? </w:t>
                </w:r>
              </w:p>
              <w:p w14:paraId="270D2705" w14:textId="37440021" w:rsidR="0073749A" w:rsidRPr="00CF5433" w:rsidRDefault="0073749A" w:rsidP="0093344D">
                <w:pPr>
                  <w:pStyle w:val="ListParagraph"/>
                  <w:numPr>
                    <w:ilvl w:val="0"/>
                    <w:numId w:val="7"/>
                  </w:numPr>
                  <w:spacing w:after="0"/>
                  <w:jc w:val="both"/>
                  <w:rPr>
                    <w:color w:val="auto"/>
                  </w:rPr>
                </w:pPr>
                <w:r w:rsidRPr="00CF5433">
                  <w:rPr>
                    <w:color w:val="auto"/>
                  </w:rPr>
                  <w:t xml:space="preserve">Were the size, scale and approach taken for each need appropriate? </w:t>
                </w:r>
              </w:p>
              <w:p w14:paraId="7B534493" w14:textId="77777777" w:rsidR="008C3B60" w:rsidRPr="00CF5433" w:rsidRDefault="008C3B60" w:rsidP="00F31E17">
                <w:pPr>
                  <w:pStyle w:val="ListParagraph"/>
                  <w:numPr>
                    <w:ilvl w:val="0"/>
                    <w:numId w:val="0"/>
                  </w:numPr>
                  <w:spacing w:after="0"/>
                  <w:ind w:left="720"/>
                  <w:jc w:val="both"/>
                  <w:rPr>
                    <w:color w:val="auto"/>
                  </w:rPr>
                </w:pPr>
              </w:p>
              <w:p w14:paraId="3AF28630" w14:textId="4F2BEDA7" w:rsidR="00AD6D6C" w:rsidRPr="00CF5433" w:rsidRDefault="00AD6D6C" w:rsidP="00E96D7C">
                <w:pPr>
                  <w:jc w:val="both"/>
                  <w:rPr>
                    <w:color w:val="auto"/>
                  </w:rPr>
                </w:pPr>
                <w:r w:rsidRPr="00CF5433">
                  <w:rPr>
                    <w:color w:val="auto"/>
                  </w:rPr>
                  <w:t xml:space="preserve">Coherence </w:t>
                </w:r>
              </w:p>
              <w:p w14:paraId="3E9EA0FD" w14:textId="46C5B86C" w:rsidR="0073749A" w:rsidRPr="00CF5433" w:rsidRDefault="0073749A" w:rsidP="0093344D">
                <w:pPr>
                  <w:pStyle w:val="ListParagraph"/>
                  <w:numPr>
                    <w:ilvl w:val="0"/>
                    <w:numId w:val="7"/>
                  </w:numPr>
                  <w:spacing w:after="0"/>
                  <w:jc w:val="both"/>
                  <w:rPr>
                    <w:color w:val="auto"/>
                  </w:rPr>
                </w:pPr>
                <w:r w:rsidRPr="00CF5433">
                  <w:rPr>
                    <w:color w:val="auto"/>
                  </w:rPr>
                  <w:t xml:space="preserve">How coherent was the intervention with the needs of the target community? </w:t>
                </w:r>
              </w:p>
              <w:p w14:paraId="37AB13D7" w14:textId="77777777" w:rsidR="008C3B60" w:rsidRPr="00CF5433" w:rsidRDefault="008C3B60" w:rsidP="008C3B60">
                <w:pPr>
                  <w:pStyle w:val="ListParagraph"/>
                  <w:numPr>
                    <w:ilvl w:val="0"/>
                    <w:numId w:val="0"/>
                  </w:numPr>
                  <w:spacing w:after="0"/>
                  <w:ind w:left="720"/>
                  <w:jc w:val="both"/>
                  <w:rPr>
                    <w:color w:val="auto"/>
                  </w:rPr>
                </w:pPr>
              </w:p>
              <w:p w14:paraId="57DAF707" w14:textId="49D62736" w:rsidR="00AD6D6C" w:rsidRPr="00CF5433" w:rsidRDefault="00AD6D6C" w:rsidP="00F31E17">
                <w:pPr>
                  <w:ind w:left="360" w:hanging="360"/>
                  <w:jc w:val="both"/>
                  <w:rPr>
                    <w:color w:val="auto"/>
                  </w:rPr>
                </w:pPr>
                <w:r w:rsidRPr="00CF5433">
                  <w:rPr>
                    <w:color w:val="auto"/>
                  </w:rPr>
                  <w:t xml:space="preserve">Effectiveness </w:t>
                </w:r>
              </w:p>
              <w:p w14:paraId="6692F043" w14:textId="2A40D72F" w:rsidR="0073749A" w:rsidRPr="00CF5433" w:rsidRDefault="0073749A" w:rsidP="0093344D">
                <w:pPr>
                  <w:pStyle w:val="ListParagraph"/>
                  <w:numPr>
                    <w:ilvl w:val="0"/>
                    <w:numId w:val="7"/>
                  </w:numPr>
                  <w:spacing w:after="0"/>
                  <w:jc w:val="both"/>
                  <w:rPr>
                    <w:color w:val="auto"/>
                  </w:rPr>
                </w:pPr>
                <w:r w:rsidRPr="00CF5433">
                  <w:rPr>
                    <w:color w:val="auto"/>
                  </w:rPr>
                  <w:t xml:space="preserve">Is the project delivering on outputs and outcomes as planned? </w:t>
                </w:r>
              </w:p>
              <w:p w14:paraId="2E1818D3" w14:textId="148BF8A6" w:rsidR="0073749A" w:rsidRPr="00CF5433" w:rsidRDefault="0073749A" w:rsidP="0093344D">
                <w:pPr>
                  <w:pStyle w:val="ListParagraph"/>
                  <w:numPr>
                    <w:ilvl w:val="0"/>
                    <w:numId w:val="7"/>
                  </w:numPr>
                  <w:spacing w:after="0"/>
                  <w:jc w:val="both"/>
                  <w:rPr>
                    <w:color w:val="auto"/>
                  </w:rPr>
                </w:pPr>
                <w:r w:rsidRPr="00CF5433">
                  <w:rPr>
                    <w:color w:val="auto"/>
                  </w:rPr>
                  <w:t xml:space="preserve">Have applied activities and their delivery methods been effective? Are there aspects that could have been done differently? </w:t>
                </w:r>
              </w:p>
              <w:p w14:paraId="53BF755C" w14:textId="77777777" w:rsidR="008C3B60" w:rsidRPr="00CF5433" w:rsidRDefault="008C3B60" w:rsidP="00C37F32">
                <w:pPr>
                  <w:pStyle w:val="ListParagraph"/>
                  <w:numPr>
                    <w:ilvl w:val="0"/>
                    <w:numId w:val="0"/>
                  </w:numPr>
                  <w:spacing w:after="0"/>
                  <w:ind w:left="720"/>
                  <w:jc w:val="both"/>
                  <w:rPr>
                    <w:color w:val="auto"/>
                  </w:rPr>
                </w:pPr>
              </w:p>
              <w:p w14:paraId="14A9B29A" w14:textId="78DD1019" w:rsidR="00AD6D6C" w:rsidRPr="00CF5433" w:rsidRDefault="00AD6D6C" w:rsidP="00E96D7C">
                <w:pPr>
                  <w:jc w:val="both"/>
                  <w:rPr>
                    <w:color w:val="auto"/>
                  </w:rPr>
                </w:pPr>
                <w:r w:rsidRPr="00CF5433">
                  <w:rPr>
                    <w:color w:val="auto"/>
                  </w:rPr>
                  <w:t>Efficiency</w:t>
                </w:r>
              </w:p>
              <w:p w14:paraId="6D7D325D" w14:textId="58CEB239" w:rsidR="0073749A" w:rsidRPr="00CF5433" w:rsidRDefault="0073749A" w:rsidP="0093344D">
                <w:pPr>
                  <w:pStyle w:val="ListParagraph"/>
                  <w:numPr>
                    <w:ilvl w:val="0"/>
                    <w:numId w:val="7"/>
                  </w:numPr>
                  <w:spacing w:after="0"/>
                  <w:jc w:val="both"/>
                  <w:rPr>
                    <w:color w:val="auto"/>
                  </w:rPr>
                </w:pPr>
                <w:r w:rsidRPr="00CF5433">
                  <w:rPr>
                    <w:color w:val="auto"/>
                  </w:rPr>
                  <w:t xml:space="preserve">Is the project being delivered on budget? How efficient was the delivery approach? </w:t>
                </w:r>
              </w:p>
              <w:p w14:paraId="3BCD380B" w14:textId="5B922843" w:rsidR="008C3B60" w:rsidRPr="00CF5433" w:rsidRDefault="00E96D7C">
                <w:pPr>
                  <w:pStyle w:val="ListParagraph"/>
                  <w:numPr>
                    <w:ilvl w:val="0"/>
                    <w:numId w:val="7"/>
                  </w:numPr>
                  <w:spacing w:after="0"/>
                  <w:jc w:val="both"/>
                  <w:rPr>
                    <w:color w:val="auto"/>
                  </w:rPr>
                </w:pPr>
                <w:r w:rsidRPr="00CF5433">
                  <w:rPr>
                    <w:color w:val="auto"/>
                  </w:rPr>
                  <w:t>To what extent did the project deliver against the needs of stakeholders in a cost-effective and timely manner? Were the approach proportionate to the needs identified, and did the project make efficient use of available resources?</w:t>
                </w:r>
              </w:p>
              <w:p w14:paraId="344BB589" w14:textId="0B3672FC" w:rsidR="00AD6D6C" w:rsidRPr="00CF5433" w:rsidRDefault="00AD6D6C" w:rsidP="00E96D7C">
                <w:pPr>
                  <w:jc w:val="both"/>
                  <w:rPr>
                    <w:color w:val="auto"/>
                  </w:rPr>
                </w:pPr>
                <w:r w:rsidRPr="00CF5433">
                  <w:rPr>
                    <w:color w:val="auto"/>
                  </w:rPr>
                  <w:t xml:space="preserve">Impact </w:t>
                </w:r>
              </w:p>
              <w:p w14:paraId="79D25313" w14:textId="19E5C7F2" w:rsidR="0073749A" w:rsidRPr="00CF5433" w:rsidRDefault="0073749A" w:rsidP="0093344D">
                <w:pPr>
                  <w:pStyle w:val="ListParagraph"/>
                  <w:numPr>
                    <w:ilvl w:val="0"/>
                    <w:numId w:val="7"/>
                  </w:numPr>
                  <w:spacing w:after="0"/>
                  <w:jc w:val="both"/>
                  <w:rPr>
                    <w:color w:val="auto"/>
                  </w:rPr>
                </w:pPr>
                <w:r w:rsidRPr="00CF5433">
                  <w:rPr>
                    <w:color w:val="auto"/>
                  </w:rPr>
                  <w:t xml:space="preserve">What range of outcomes (intended and unintended) has the project contributed to? </w:t>
                </w:r>
              </w:p>
              <w:p w14:paraId="14C9E98E" w14:textId="1F345EB7" w:rsidR="0073749A" w:rsidRPr="00CF5433" w:rsidRDefault="0073749A" w:rsidP="0093344D">
                <w:pPr>
                  <w:pStyle w:val="ListParagraph"/>
                  <w:numPr>
                    <w:ilvl w:val="0"/>
                    <w:numId w:val="7"/>
                  </w:numPr>
                  <w:spacing w:after="0"/>
                  <w:jc w:val="both"/>
                  <w:rPr>
                    <w:color w:val="auto"/>
                  </w:rPr>
                </w:pPr>
                <w:r w:rsidRPr="00CF5433">
                  <w:rPr>
                    <w:color w:val="auto"/>
                  </w:rPr>
                  <w:t xml:space="preserve">Is the project impacting positively on key groups and issues that have been identified as important in project design? </w:t>
                </w:r>
              </w:p>
              <w:p w14:paraId="3231C10C" w14:textId="77777777" w:rsidR="006C384A" w:rsidRPr="00CF5433" w:rsidRDefault="0073749A" w:rsidP="00C37F32">
                <w:pPr>
                  <w:ind w:left="720"/>
                  <w:jc w:val="both"/>
                  <w:rPr>
                    <w:color w:val="auto"/>
                  </w:rPr>
                </w:pPr>
                <w:r w:rsidRPr="00CF5433">
                  <w:rPr>
                    <w:color w:val="auto"/>
                  </w:rPr>
                  <w:t xml:space="preserve">How has the project influenced the stakeholder community, and what capacities has it built? </w:t>
                </w:r>
              </w:p>
              <w:p w14:paraId="3730F5FE" w14:textId="77777777" w:rsidR="006C384A" w:rsidRPr="00CF5433" w:rsidRDefault="006C384A" w:rsidP="006C384A">
                <w:pPr>
                  <w:jc w:val="both"/>
                  <w:rPr>
                    <w:color w:val="auto"/>
                  </w:rPr>
                </w:pPr>
              </w:p>
              <w:p w14:paraId="2BDDFF62" w14:textId="1A11C7F6" w:rsidR="00AD6D6C" w:rsidRPr="00CF5433" w:rsidRDefault="00AD6D6C" w:rsidP="00F31E17">
                <w:pPr>
                  <w:jc w:val="both"/>
                  <w:rPr>
                    <w:color w:val="auto"/>
                  </w:rPr>
                </w:pPr>
                <w:r w:rsidRPr="00CF5433">
                  <w:rPr>
                    <w:color w:val="auto"/>
                  </w:rPr>
                  <w:t xml:space="preserve">Sustainability </w:t>
                </w:r>
              </w:p>
              <w:p w14:paraId="56B6629F" w14:textId="0D2B1434" w:rsidR="005D72FB" w:rsidRPr="00CF5433" w:rsidRDefault="0073749A" w:rsidP="00AD6D6C">
                <w:pPr>
                  <w:pStyle w:val="ListParagraph"/>
                  <w:numPr>
                    <w:ilvl w:val="0"/>
                    <w:numId w:val="7"/>
                  </w:numPr>
                  <w:spacing w:after="0"/>
                  <w:jc w:val="both"/>
                  <w:rPr>
                    <w:color w:val="auto"/>
                  </w:rPr>
                </w:pPr>
                <w:r w:rsidRPr="00CF5433">
                  <w:rPr>
                    <w:color w:val="auto"/>
                  </w:rPr>
                  <w:t xml:space="preserve">Is there evidence that the initiative is likely to grow – scaling up and out – beyond the project life? </w:t>
                </w:r>
              </w:p>
              <w:p w14:paraId="71AA6913" w14:textId="77777777" w:rsidR="00C37F32" w:rsidRPr="00CF5433" w:rsidRDefault="00C37F32" w:rsidP="00AD6D6C">
                <w:pPr>
                  <w:pStyle w:val="ListParagraph"/>
                  <w:numPr>
                    <w:ilvl w:val="0"/>
                    <w:numId w:val="7"/>
                  </w:numPr>
                  <w:spacing w:after="0"/>
                  <w:jc w:val="both"/>
                  <w:rPr>
                    <w:color w:val="auto"/>
                  </w:rPr>
                </w:pPr>
                <w:r w:rsidRPr="00CF5433">
                  <w:rPr>
                    <w:color w:val="auto"/>
                  </w:rPr>
                  <w:t>To what extent are we enabling the participation of the people and communities we work with in support of effective, safe, and quality programming?</w:t>
                </w:r>
              </w:p>
              <w:p w14:paraId="7BE3C10E" w14:textId="77777777" w:rsidR="00C37F32" w:rsidRPr="00CF5433" w:rsidRDefault="00C37F32" w:rsidP="00AD6D6C">
                <w:pPr>
                  <w:pStyle w:val="ListParagraph"/>
                  <w:numPr>
                    <w:ilvl w:val="0"/>
                    <w:numId w:val="7"/>
                  </w:numPr>
                  <w:spacing w:after="0"/>
                  <w:jc w:val="both"/>
                  <w:rPr>
                    <w:color w:val="auto"/>
                  </w:rPr>
                </w:pPr>
                <w:r w:rsidRPr="00CF5433">
                  <w:rPr>
                    <w:color w:val="auto"/>
                  </w:rPr>
                  <w:t>Are there indications that project models or components may be replicated, scaled up, or integrated into local systems or policies?</w:t>
                </w:r>
              </w:p>
              <w:p w14:paraId="602CAE5D" w14:textId="14A2A8C6" w:rsidR="00276318" w:rsidRPr="00CF5433" w:rsidRDefault="00276318" w:rsidP="00AD6D6C">
                <w:pPr>
                  <w:pStyle w:val="ListParagraph"/>
                  <w:numPr>
                    <w:ilvl w:val="0"/>
                    <w:numId w:val="7"/>
                  </w:numPr>
                  <w:spacing w:after="0"/>
                  <w:jc w:val="both"/>
                  <w:rPr>
                    <w:color w:val="auto"/>
                  </w:rPr>
                </w:pPr>
                <w:r w:rsidRPr="00CF5433">
                  <w:rPr>
                    <w:color w:val="auto"/>
                  </w:rPr>
                  <w:t>To what extent has the project prepared for the transition of services and activities to the government and local actors, and what are the anticipated challenges and opportunities for sustaining project outcomes post-closure?</w:t>
                </w:r>
              </w:p>
            </w:tc>
          </w:tr>
        </w:tbl>
        <w:tbl>
          <w:tblPr>
            <w:tblStyle w:val="TableGrid"/>
            <w:tblpPr w:leftFromText="180" w:rightFromText="180" w:vertAnchor="text" w:horzAnchor="margin" w:tblpY="850"/>
            <w:tblW w:w="0" w:type="auto"/>
            <w:tblLook w:val="04A0" w:firstRow="1" w:lastRow="0" w:firstColumn="1" w:lastColumn="0" w:noHBand="0" w:noVBand="1"/>
          </w:tblPr>
          <w:tblGrid>
            <w:gridCol w:w="8494"/>
          </w:tblGrid>
          <w:tr w:rsidR="00CF5433" w:rsidRPr="00CF5433" w14:paraId="6703B8D3" w14:textId="77777777" w:rsidTr="006C2575">
            <w:tc>
              <w:tcPr>
                <w:tcW w:w="8494" w:type="dxa"/>
              </w:tcPr>
              <w:p w14:paraId="170970DE" w14:textId="77777777" w:rsidR="006C2575" w:rsidRPr="00CF5433" w:rsidRDefault="006C2575" w:rsidP="006C2575">
                <w:pPr>
                  <w:jc w:val="both"/>
                  <w:rPr>
                    <w:rFonts w:cs="Calibri"/>
                    <w:color w:val="auto"/>
                    <w:lang w:val="en-US"/>
                  </w:rPr>
                </w:pPr>
                <w:r w:rsidRPr="00CF5433">
                  <w:rPr>
                    <w:rFonts w:cs="Calibri"/>
                    <w:color w:val="auto"/>
                    <w:lang w:val="en-US"/>
                  </w:rPr>
                  <w:lastRenderedPageBreak/>
                  <w:t>The evaluation will employ a mixed-methods approach, combining both quantitative and qualitative methodologies through a desk review and primary field data collection. Data will be drawn from existing reports, and datasets from consortium partners, BHA, other donors, and relevant research institutions, particularly focusing on WASH, Health &amp; Nutrition, Shelter, Agriculture, Livelihoods, Labor, Employment, and Market Systems in the targeted geographic areas.</w:t>
                </w:r>
              </w:p>
              <w:p w14:paraId="603BC21F" w14:textId="77777777" w:rsidR="006C2575" w:rsidRPr="00CF5433" w:rsidRDefault="006C2575" w:rsidP="006C2575">
                <w:pPr>
                  <w:jc w:val="both"/>
                  <w:rPr>
                    <w:rFonts w:cs="Calibri"/>
                    <w:color w:val="auto"/>
                    <w:lang w:val="en-US"/>
                  </w:rPr>
                </w:pPr>
              </w:p>
              <w:p w14:paraId="6F93186B" w14:textId="77777777" w:rsidR="006C2575" w:rsidRPr="00CF5433" w:rsidRDefault="006C2575" w:rsidP="006C2575">
                <w:pPr>
                  <w:jc w:val="both"/>
                  <w:rPr>
                    <w:rFonts w:cs="Calibri"/>
                    <w:color w:val="auto"/>
                    <w:lang w:val="en-US"/>
                  </w:rPr>
                </w:pPr>
                <w:r w:rsidRPr="00CF5433">
                  <w:rPr>
                    <w:rFonts w:cs="Calibri"/>
                    <w:color w:val="auto"/>
                    <w:lang w:val="en-US"/>
                  </w:rPr>
                  <w:t>Primary data collection is expected to include the following provisional tools:</w:t>
                </w:r>
              </w:p>
              <w:p w14:paraId="791CB60E" w14:textId="77777777" w:rsidR="006C2575" w:rsidRPr="00CF5433" w:rsidRDefault="006C2575" w:rsidP="006C2575">
                <w:pPr>
                  <w:jc w:val="both"/>
                  <w:rPr>
                    <w:rFonts w:cs="Calibri"/>
                    <w:color w:val="auto"/>
                    <w:lang w:val="en-US"/>
                  </w:rPr>
                </w:pPr>
              </w:p>
              <w:p w14:paraId="5D813A95" w14:textId="77777777" w:rsidR="006C2575" w:rsidRPr="00CF5433" w:rsidRDefault="006C2575" w:rsidP="006C2575">
                <w:pPr>
                  <w:pStyle w:val="ListParagraph"/>
                  <w:numPr>
                    <w:ilvl w:val="0"/>
                    <w:numId w:val="14"/>
                  </w:numPr>
                  <w:spacing w:after="0"/>
                  <w:jc w:val="both"/>
                  <w:rPr>
                    <w:rFonts w:cs="Calibri"/>
                    <w:color w:val="auto"/>
                    <w:lang w:val="en-US"/>
                  </w:rPr>
                </w:pPr>
                <w:r w:rsidRPr="00CF5433">
                  <w:rPr>
                    <w:rFonts w:cs="Calibri"/>
                    <w:color w:val="auto"/>
                    <w:lang w:val="en-US"/>
                  </w:rPr>
                  <w:t>Household surveys targeting direct project beneficiaries to assess outcomes, impact and satisfaction</w:t>
                </w:r>
              </w:p>
              <w:p w14:paraId="41B15DF1" w14:textId="77777777" w:rsidR="006C2575" w:rsidRPr="00CF5433" w:rsidRDefault="006C2575" w:rsidP="006C2575">
                <w:pPr>
                  <w:pStyle w:val="ListParagraph"/>
                  <w:numPr>
                    <w:ilvl w:val="0"/>
                    <w:numId w:val="14"/>
                  </w:numPr>
                  <w:spacing w:after="0"/>
                  <w:jc w:val="both"/>
                  <w:rPr>
                    <w:rFonts w:cs="Calibri"/>
                    <w:color w:val="auto"/>
                    <w:lang w:val="en-US"/>
                  </w:rPr>
                </w:pPr>
                <w:r w:rsidRPr="00CF5433">
                  <w:rPr>
                    <w:rFonts w:cs="Calibri"/>
                    <w:color w:val="auto"/>
                    <w:lang w:val="en-US"/>
                  </w:rPr>
                  <w:t>Focus Group Discussions (FGDs) with community members, women, men, children, youth, and marginalized groups</w:t>
                </w:r>
              </w:p>
              <w:p w14:paraId="4C6DAB09" w14:textId="77777777" w:rsidR="006C2575" w:rsidRPr="00CF5433" w:rsidRDefault="006C2575" w:rsidP="006C2575">
                <w:pPr>
                  <w:pStyle w:val="ListParagraph"/>
                  <w:numPr>
                    <w:ilvl w:val="0"/>
                    <w:numId w:val="14"/>
                  </w:numPr>
                  <w:spacing w:after="0"/>
                  <w:jc w:val="both"/>
                  <w:rPr>
                    <w:rFonts w:cs="Calibri"/>
                    <w:color w:val="auto"/>
                    <w:lang w:val="en-US"/>
                  </w:rPr>
                </w:pPr>
                <w:r w:rsidRPr="00CF5433">
                  <w:rPr>
                    <w:rFonts w:cs="Calibri"/>
                    <w:color w:val="auto"/>
                    <w:lang w:val="en-US"/>
                  </w:rPr>
                  <w:t>Key Informant Interviews (KIIs) with consortium staff, government officials, community leaders, and sectoral experts</w:t>
                </w:r>
              </w:p>
              <w:p w14:paraId="264752DC" w14:textId="77777777" w:rsidR="006C2575" w:rsidRPr="00CF5433" w:rsidRDefault="006C2575" w:rsidP="006C2575">
                <w:pPr>
                  <w:pStyle w:val="ListParagraph"/>
                  <w:numPr>
                    <w:ilvl w:val="0"/>
                    <w:numId w:val="14"/>
                  </w:numPr>
                  <w:spacing w:after="0"/>
                  <w:jc w:val="both"/>
                  <w:rPr>
                    <w:rFonts w:cs="Calibri"/>
                    <w:color w:val="auto"/>
                    <w:lang w:val="en-US"/>
                  </w:rPr>
                </w:pPr>
                <w:r w:rsidRPr="00CF5433">
                  <w:rPr>
                    <w:rFonts w:cs="Calibri"/>
                    <w:color w:val="auto"/>
                    <w:lang w:val="en-US"/>
                  </w:rPr>
                  <w:t>Direct observation at selected program implementation locations to assess infrastructure quality, service delivery, and usage</w:t>
                </w:r>
              </w:p>
              <w:p w14:paraId="19428C8E" w14:textId="77777777" w:rsidR="006C2575" w:rsidRPr="00CF5433" w:rsidRDefault="006C2575" w:rsidP="006C2575">
                <w:pPr>
                  <w:pStyle w:val="ListParagraph"/>
                  <w:numPr>
                    <w:ilvl w:val="0"/>
                    <w:numId w:val="14"/>
                  </w:numPr>
                  <w:spacing w:after="0"/>
                  <w:jc w:val="both"/>
                  <w:rPr>
                    <w:rFonts w:cs="Calibri"/>
                    <w:color w:val="auto"/>
                    <w:lang w:val="en-US"/>
                  </w:rPr>
                </w:pPr>
                <w:r w:rsidRPr="00CF5433">
                  <w:rPr>
                    <w:rFonts w:cs="Calibri"/>
                    <w:color w:val="auto"/>
                    <w:lang w:val="en-US"/>
                  </w:rPr>
                  <w:t>Secondary data review of project reports, monitoring data, and prior assessment reports.</w:t>
                </w:r>
              </w:p>
              <w:p w14:paraId="2916D3C4" w14:textId="77777777" w:rsidR="006C2575" w:rsidRPr="00CF5433" w:rsidRDefault="006C2575" w:rsidP="006C2575">
                <w:pPr>
                  <w:jc w:val="both"/>
                  <w:rPr>
                    <w:rFonts w:cs="Calibri"/>
                    <w:color w:val="auto"/>
                    <w:lang w:val="en-US"/>
                  </w:rPr>
                </w:pPr>
              </w:p>
              <w:p w14:paraId="6BC6D82C" w14:textId="77777777" w:rsidR="006C2575" w:rsidRPr="00CF5433" w:rsidRDefault="006C2575" w:rsidP="006C2575">
                <w:pPr>
                  <w:jc w:val="both"/>
                  <w:rPr>
                    <w:rFonts w:cs="Calibri"/>
                    <w:color w:val="auto"/>
                    <w:lang w:val="en-US"/>
                  </w:rPr>
                </w:pPr>
                <w:r w:rsidRPr="00CF5433">
                  <w:rPr>
                    <w:rFonts w:cs="Calibri"/>
                    <w:color w:val="auto"/>
                    <w:lang w:val="en-US"/>
                  </w:rPr>
                  <w:t>Indicative sample sizes and target respondent groups will be determined during the inception phase. The final selection of evaluation locations, sequencing of activities, methodological approach, sampling framework, and tool design will be finalized collaboratively between the contractor and the E2R consortium during the inception phase to ensure contextual relevance and cost-effective delivery.</w:t>
                </w:r>
              </w:p>
              <w:p w14:paraId="4660053F" w14:textId="77777777" w:rsidR="006C2575" w:rsidRPr="00CF5433" w:rsidRDefault="006C2575" w:rsidP="006C2575">
                <w:pPr>
                  <w:jc w:val="both"/>
                  <w:rPr>
                    <w:rFonts w:cs="Calibri"/>
                    <w:color w:val="auto"/>
                    <w:lang w:val="en-US"/>
                  </w:rPr>
                </w:pPr>
              </w:p>
              <w:p w14:paraId="6CB62610" w14:textId="77777777" w:rsidR="006C2575" w:rsidRPr="00CF5433" w:rsidRDefault="006C2575" w:rsidP="006C2575">
                <w:pPr>
                  <w:jc w:val="both"/>
                  <w:rPr>
                    <w:rFonts w:cs="Calibri"/>
                    <w:color w:val="auto"/>
                    <w:lang w:val="en-US"/>
                  </w:rPr>
                </w:pPr>
                <w:r w:rsidRPr="00CF5433">
                  <w:rPr>
                    <w:rFonts w:cs="Calibri"/>
                    <w:color w:val="auto"/>
                    <w:lang w:val="en-US"/>
                  </w:rPr>
                  <w:t>The consultant firm is expected to for OEDC criteria of evaluation to assess the extent to which the project met its set objectives. Further, the Consultant firm and the contracting agency, NRC and the E2R Consortium partners will agree on steps and lines of enquiry before approving final evaluation. The consultants shall be expected to submit a consultancy proposal and inception note that will be approved in joint sitting with all partners to ensure the evaluation meets the required standards.</w:t>
                </w:r>
              </w:p>
              <w:p w14:paraId="22DF2E66" w14:textId="77777777" w:rsidR="006C2575" w:rsidRPr="00CF5433" w:rsidRDefault="006C2575" w:rsidP="006C2575">
                <w:pPr>
                  <w:ind w:left="284"/>
                  <w:jc w:val="both"/>
                  <w:rPr>
                    <w:rFonts w:cs="Calibri"/>
                    <w:b/>
                    <w:color w:val="auto"/>
                    <w:lang w:val="en-US"/>
                  </w:rPr>
                </w:pPr>
              </w:p>
            </w:tc>
          </w:tr>
        </w:tbl>
        <w:p w14:paraId="602CAE61" w14:textId="14D65238" w:rsidR="00473482" w:rsidRPr="00CF5433" w:rsidRDefault="006C2575" w:rsidP="00C11051">
          <w:pPr>
            <w:pStyle w:val="Heading1"/>
            <w:rPr>
              <w:color w:val="auto"/>
              <w:sz w:val="28"/>
              <w:szCs w:val="28"/>
              <w:lang w:val="en-US"/>
            </w:rPr>
          </w:pPr>
          <w:r w:rsidRPr="00CF5433">
            <w:rPr>
              <w:color w:val="auto"/>
              <w:sz w:val="28"/>
              <w:szCs w:val="28"/>
              <w:lang w:val="en-US"/>
            </w:rPr>
            <w:t xml:space="preserve"> </w:t>
          </w:r>
          <w:r w:rsidR="00C11051" w:rsidRPr="00CF5433">
            <w:rPr>
              <w:color w:val="auto"/>
              <w:sz w:val="28"/>
              <w:szCs w:val="28"/>
              <w:lang w:val="en-US"/>
            </w:rPr>
            <w:t>Methodology</w:t>
          </w:r>
        </w:p>
        <w:p w14:paraId="602CAE69" w14:textId="77777777" w:rsidR="00473482" w:rsidRPr="00CF5433" w:rsidRDefault="005D72FB" w:rsidP="005D72FB">
          <w:pPr>
            <w:pStyle w:val="Heading1"/>
            <w:rPr>
              <w:color w:val="auto"/>
              <w:sz w:val="28"/>
              <w:szCs w:val="28"/>
              <w:lang w:val="en-US"/>
            </w:rPr>
          </w:pPr>
          <w:r w:rsidRPr="00CF5433">
            <w:rPr>
              <w:color w:val="auto"/>
              <w:sz w:val="28"/>
              <w:szCs w:val="28"/>
              <w:lang w:val="en-US"/>
            </w:rPr>
            <w:t>Evaluation follow up and learning</w:t>
          </w:r>
        </w:p>
        <w:tbl>
          <w:tblPr>
            <w:tblStyle w:val="TableGrid"/>
            <w:tblW w:w="0" w:type="auto"/>
            <w:tblLook w:val="04A0" w:firstRow="1" w:lastRow="0" w:firstColumn="1" w:lastColumn="0" w:noHBand="0" w:noVBand="1"/>
          </w:tblPr>
          <w:tblGrid>
            <w:gridCol w:w="8494"/>
          </w:tblGrid>
          <w:tr w:rsidR="00CF5433" w:rsidRPr="00CF5433" w14:paraId="602CAE6E" w14:textId="77777777" w:rsidTr="00BE6762">
            <w:tc>
              <w:tcPr>
                <w:tcW w:w="9166" w:type="dxa"/>
              </w:tcPr>
              <w:p w14:paraId="602CAE6C" w14:textId="4AE896CA" w:rsidR="005D72FB" w:rsidRPr="00CF5433" w:rsidRDefault="005D72FB" w:rsidP="0093344D">
                <w:pPr>
                  <w:pStyle w:val="ListParagraph"/>
                  <w:numPr>
                    <w:ilvl w:val="0"/>
                    <w:numId w:val="6"/>
                  </w:numPr>
                  <w:autoSpaceDE w:val="0"/>
                  <w:autoSpaceDN w:val="0"/>
                  <w:adjustRightInd w:val="0"/>
                  <w:spacing w:before="100" w:beforeAutospacing="1" w:after="100" w:afterAutospacing="1"/>
                  <w:jc w:val="both"/>
                  <w:rPr>
                    <w:rFonts w:cs="Arial"/>
                    <w:color w:val="auto"/>
                  </w:rPr>
                </w:pPr>
                <w:r w:rsidRPr="00CF5433">
                  <w:rPr>
                    <w:rFonts w:cs="Arial"/>
                    <w:color w:val="auto"/>
                  </w:rPr>
                  <w:t xml:space="preserve">A management response will be developed within one month of the evaluation report being finalised.  This will be followed up and tracked by </w:t>
                </w:r>
                <w:r w:rsidR="00EB7E34" w:rsidRPr="00CF5433">
                  <w:rPr>
                    <w:rFonts w:cs="Arial"/>
                    <w:color w:val="auto"/>
                  </w:rPr>
                  <w:t xml:space="preserve">the consortium </w:t>
                </w:r>
                <w:r w:rsidR="0041784E" w:rsidRPr="00CF5433">
                  <w:rPr>
                    <w:rFonts w:cs="Arial"/>
                    <w:color w:val="auto"/>
                  </w:rPr>
                  <w:t xml:space="preserve">MEL Advisor and supported by the </w:t>
                </w:r>
                <w:r w:rsidR="0081205A" w:rsidRPr="00CF5433">
                  <w:rPr>
                    <w:rFonts w:cs="Arial"/>
                    <w:color w:val="auto"/>
                  </w:rPr>
                  <w:t xml:space="preserve">NRC country MEL lead and the </w:t>
                </w:r>
                <w:r w:rsidR="0041784E" w:rsidRPr="00CF5433">
                  <w:rPr>
                    <w:rFonts w:cs="Arial"/>
                    <w:color w:val="auto"/>
                  </w:rPr>
                  <w:t xml:space="preserve">consortium </w:t>
                </w:r>
                <w:r w:rsidR="00EB7E34" w:rsidRPr="00CF5433">
                  <w:rPr>
                    <w:rFonts w:cs="Arial"/>
                    <w:color w:val="auto"/>
                  </w:rPr>
                  <w:t>manager</w:t>
                </w:r>
                <w:r w:rsidRPr="00CF5433">
                  <w:rPr>
                    <w:rFonts w:cs="Arial"/>
                    <w:color w:val="auto"/>
                  </w:rPr>
                  <w:t>.</w:t>
                </w:r>
              </w:p>
              <w:p w14:paraId="602CAE6D" w14:textId="25264A7A" w:rsidR="00473482" w:rsidRPr="00CF5433" w:rsidRDefault="005D72FB" w:rsidP="0093344D">
                <w:pPr>
                  <w:pStyle w:val="ListParagraph"/>
                  <w:numPr>
                    <w:ilvl w:val="0"/>
                    <w:numId w:val="6"/>
                  </w:numPr>
                  <w:autoSpaceDE w:val="0"/>
                  <w:autoSpaceDN w:val="0"/>
                  <w:adjustRightInd w:val="0"/>
                  <w:spacing w:before="100" w:beforeAutospacing="1" w:after="100" w:afterAutospacing="1"/>
                  <w:jc w:val="both"/>
                  <w:rPr>
                    <w:rFonts w:cs="Arial"/>
                    <w:color w:val="auto"/>
                  </w:rPr>
                </w:pPr>
                <w:r w:rsidRPr="00CF5433">
                  <w:rPr>
                    <w:rFonts w:cs="Arial"/>
                    <w:color w:val="auto"/>
                  </w:rPr>
                  <w:t xml:space="preserve">A </w:t>
                </w:r>
                <w:r w:rsidR="0092421D" w:rsidRPr="00CF5433">
                  <w:rPr>
                    <w:rFonts w:cs="Arial"/>
                    <w:color w:val="auto"/>
                  </w:rPr>
                  <w:t>dissemination</w:t>
                </w:r>
                <w:r w:rsidRPr="00CF5433">
                  <w:rPr>
                    <w:rFonts w:cs="Arial"/>
                    <w:color w:val="auto"/>
                  </w:rPr>
                  <w:t xml:space="preserve"> plan will be developed to ensure that important learning is shared with internal and external stakeholders</w:t>
                </w:r>
                <w:r w:rsidR="00473482" w:rsidRPr="00CF5433">
                  <w:rPr>
                    <w:rFonts w:cs="Arial"/>
                    <w:color w:val="auto"/>
                  </w:rPr>
                  <w:t xml:space="preserve"> </w:t>
                </w:r>
              </w:p>
            </w:tc>
          </w:tr>
        </w:tbl>
        <w:p w14:paraId="602CAE7F" w14:textId="3A02C949" w:rsidR="00473482" w:rsidRPr="00CF5433" w:rsidRDefault="00D76A0C" w:rsidP="002716FF">
          <w:pPr>
            <w:pStyle w:val="Heading1"/>
            <w:rPr>
              <w:color w:val="auto"/>
              <w:sz w:val="28"/>
              <w:szCs w:val="28"/>
              <w:lang w:val="en-US"/>
            </w:rPr>
          </w:pPr>
          <w:r w:rsidRPr="00CF5433">
            <w:rPr>
              <w:color w:val="auto"/>
              <w:sz w:val="28"/>
              <w:szCs w:val="28"/>
              <w:lang w:val="en-US"/>
            </w:rPr>
            <w:t>Deliverables and reporting deadlines</w:t>
          </w:r>
        </w:p>
        <w:tbl>
          <w:tblPr>
            <w:tblStyle w:val="TableGrid"/>
            <w:tblW w:w="0" w:type="auto"/>
            <w:tblLook w:val="04A0" w:firstRow="1" w:lastRow="0" w:firstColumn="1" w:lastColumn="0" w:noHBand="0" w:noVBand="1"/>
          </w:tblPr>
          <w:tblGrid>
            <w:gridCol w:w="8494"/>
          </w:tblGrid>
          <w:tr w:rsidR="00CF5433" w:rsidRPr="00CF5433" w14:paraId="602CAE82" w14:textId="77777777" w:rsidTr="00BE6762">
            <w:tc>
              <w:tcPr>
                <w:tcW w:w="9166" w:type="dxa"/>
              </w:tcPr>
              <w:p w14:paraId="242CE2B1" w14:textId="15918A35" w:rsidR="00355BD8" w:rsidRPr="00CF5433" w:rsidRDefault="00355BD8" w:rsidP="0093344D">
                <w:pPr>
                  <w:pStyle w:val="ListParagraph"/>
                  <w:numPr>
                    <w:ilvl w:val="0"/>
                    <w:numId w:val="10"/>
                  </w:numPr>
                  <w:spacing w:after="0"/>
                  <w:jc w:val="both"/>
                  <w:rPr>
                    <w:rFonts w:cs="Calibri"/>
                    <w:color w:val="auto"/>
                    <w:lang w:val="en-US"/>
                  </w:rPr>
                </w:pPr>
                <w:r w:rsidRPr="00CF5433">
                  <w:rPr>
                    <w:rFonts w:cs="Calibri"/>
                    <w:color w:val="auto"/>
                    <w:lang w:val="en-US"/>
                  </w:rPr>
                  <w:t>Inception report (</w:t>
                </w:r>
                <w:r w:rsidR="005527BC" w:rsidRPr="00CF5433">
                  <w:rPr>
                    <w:rFonts w:cs="Calibri"/>
                    <w:color w:val="auto"/>
                    <w:lang w:val="en-US"/>
                  </w:rPr>
                  <w:t>15</w:t>
                </w:r>
                <w:r w:rsidRPr="00CF5433">
                  <w:rPr>
                    <w:rFonts w:cs="Calibri"/>
                    <w:color w:val="auto"/>
                    <w:lang w:val="en-US"/>
                  </w:rPr>
                  <w:t xml:space="preserve"> pages maximum) </w:t>
                </w:r>
                <w:r w:rsidR="005527BC" w:rsidRPr="00CF5433">
                  <w:rPr>
                    <w:rFonts w:cs="Calibri"/>
                    <w:color w:val="auto"/>
                    <w:lang w:val="en-US"/>
                  </w:rPr>
                  <w:t xml:space="preserve">without annexes </w:t>
                </w:r>
                <w:r w:rsidR="00545654" w:rsidRPr="00CF5433">
                  <w:rPr>
                    <w:rFonts w:cs="Calibri"/>
                    <w:color w:val="auto"/>
                    <w:lang w:val="en-US"/>
                  </w:rPr>
                  <w:t xml:space="preserve">which responds to the scope of work by adding any further detail or clarification regarding the study approach, </w:t>
                </w:r>
                <w:r w:rsidRPr="00CF5433">
                  <w:rPr>
                    <w:rFonts w:cs="Calibri"/>
                    <w:color w:val="auto"/>
                    <w:lang w:val="en-US"/>
                  </w:rPr>
                  <w:t>detailing the methodological plan, identification of research locations, participatory and intersectional methodology for collecting data, sampling strategy, data collection tools (Focus Group and Key Informant Interview schedules) and workplan for the evaluation complete with a time schedule.</w:t>
                </w:r>
                <w:r w:rsidR="00DB599A" w:rsidRPr="00CF5433">
                  <w:rPr>
                    <w:rFonts w:cs="Calibri"/>
                    <w:color w:val="auto"/>
                    <w:lang w:val="en-US"/>
                  </w:rPr>
                  <w:t xml:space="preserve"> (</w:t>
                </w:r>
                <w:r w:rsidR="00732AAF" w:rsidRPr="00CF5433">
                  <w:rPr>
                    <w:rFonts w:cs="Calibri"/>
                    <w:color w:val="auto"/>
                    <w:lang w:val="en-US"/>
                  </w:rPr>
                  <w:t>Within 14 days of contract signature)</w:t>
                </w:r>
              </w:p>
              <w:p w14:paraId="690154C0" w14:textId="711030CA" w:rsidR="00355BD8" w:rsidRPr="00CF5433" w:rsidRDefault="00355BD8" w:rsidP="0093344D">
                <w:pPr>
                  <w:pStyle w:val="ListParagraph"/>
                  <w:numPr>
                    <w:ilvl w:val="0"/>
                    <w:numId w:val="10"/>
                  </w:numPr>
                  <w:spacing w:after="0"/>
                  <w:jc w:val="both"/>
                  <w:rPr>
                    <w:rFonts w:cs="Calibri"/>
                    <w:color w:val="auto"/>
                    <w:lang w:val="en-US"/>
                  </w:rPr>
                </w:pPr>
                <w:r w:rsidRPr="00CF5433">
                  <w:rPr>
                    <w:rFonts w:cs="Calibri"/>
                    <w:color w:val="auto"/>
                    <w:lang w:val="en-US"/>
                  </w:rPr>
                  <w:t>Undertake desk review of the relevant program documents and secondary analysis to further inform the results interpretation</w:t>
                </w:r>
                <w:r w:rsidR="008E61F3" w:rsidRPr="00CF5433">
                  <w:rPr>
                    <w:rFonts w:cs="Calibri"/>
                    <w:color w:val="auto"/>
                    <w:lang w:val="en-US"/>
                  </w:rPr>
                  <w:t>.</w:t>
                </w:r>
              </w:p>
              <w:p w14:paraId="731D2948" w14:textId="33F5D451" w:rsidR="00355BD8" w:rsidRPr="00CF5433" w:rsidRDefault="00355BD8" w:rsidP="0093344D">
                <w:pPr>
                  <w:pStyle w:val="ListParagraph"/>
                  <w:numPr>
                    <w:ilvl w:val="0"/>
                    <w:numId w:val="10"/>
                  </w:numPr>
                  <w:spacing w:after="0"/>
                  <w:jc w:val="both"/>
                  <w:rPr>
                    <w:rFonts w:cs="Calibri"/>
                    <w:color w:val="auto"/>
                    <w:lang w:val="en-US"/>
                  </w:rPr>
                </w:pPr>
                <w:r w:rsidRPr="00CF5433">
                  <w:rPr>
                    <w:rFonts w:cs="Calibri"/>
                    <w:color w:val="auto"/>
                    <w:lang w:val="en-US"/>
                  </w:rPr>
                  <w:lastRenderedPageBreak/>
                  <w:t>Datasets and fieldnotes.</w:t>
                </w:r>
              </w:p>
              <w:p w14:paraId="40C59FB3" w14:textId="6CB4C5B3" w:rsidR="00355BD8" w:rsidRPr="00CF5433" w:rsidRDefault="00355BD8" w:rsidP="0093344D">
                <w:pPr>
                  <w:pStyle w:val="ListParagraph"/>
                  <w:numPr>
                    <w:ilvl w:val="0"/>
                    <w:numId w:val="10"/>
                  </w:numPr>
                  <w:spacing w:after="0"/>
                  <w:jc w:val="both"/>
                  <w:rPr>
                    <w:rFonts w:cs="Calibri"/>
                    <w:color w:val="auto"/>
                    <w:lang w:val="en-US"/>
                  </w:rPr>
                </w:pPr>
                <w:r w:rsidRPr="00CF5433">
                  <w:rPr>
                    <w:rFonts w:cs="Calibri"/>
                    <w:color w:val="auto"/>
                    <w:lang w:val="en-US"/>
                  </w:rPr>
                  <w:t>Final report (</w:t>
                </w:r>
                <w:r w:rsidR="009953C8" w:rsidRPr="00CF5433">
                  <w:rPr>
                    <w:rFonts w:cs="Calibri"/>
                    <w:color w:val="auto"/>
                    <w:lang w:val="en-US"/>
                  </w:rPr>
                  <w:t>In English n</w:t>
                </w:r>
                <w:r w:rsidRPr="00CF5433">
                  <w:rPr>
                    <w:rFonts w:cs="Calibri"/>
                    <w:color w:val="auto"/>
                    <w:lang w:val="en-US"/>
                  </w:rPr>
                  <w:t>ot more than 40 pages</w:t>
                </w:r>
                <w:r w:rsidR="00A5111C" w:rsidRPr="00CF5433">
                  <w:rPr>
                    <w:rFonts w:cs="Calibri"/>
                    <w:color w:val="auto"/>
                    <w:lang w:val="en-US"/>
                  </w:rPr>
                  <w:t xml:space="preserve"> including annexes</w:t>
                </w:r>
                <w:r w:rsidRPr="00CF5433">
                  <w:rPr>
                    <w:rFonts w:cs="Calibri"/>
                    <w:color w:val="auto"/>
                    <w:lang w:val="en-US"/>
                  </w:rPr>
                  <w:t>)</w:t>
                </w:r>
                <w:r w:rsidR="008E61F3" w:rsidRPr="00CF5433">
                  <w:rPr>
                    <w:rFonts w:cs="Calibri"/>
                    <w:color w:val="auto"/>
                    <w:lang w:val="en-US"/>
                  </w:rPr>
                  <w:t xml:space="preserve"> within </w:t>
                </w:r>
                <w:r w:rsidR="008E23E4" w:rsidRPr="00CF5433">
                  <w:rPr>
                    <w:rFonts w:cs="Calibri"/>
                    <w:color w:val="auto"/>
                    <w:lang w:val="en-US"/>
                  </w:rPr>
                  <w:t>50 days of contract signature</w:t>
                </w:r>
              </w:p>
              <w:p w14:paraId="602CAE81" w14:textId="6D01E412" w:rsidR="00473482" w:rsidRPr="00CF5433" w:rsidRDefault="00D57940" w:rsidP="008E2F38">
                <w:pPr>
                  <w:pStyle w:val="ListParagraph"/>
                  <w:numPr>
                    <w:ilvl w:val="0"/>
                    <w:numId w:val="10"/>
                  </w:numPr>
                  <w:rPr>
                    <w:rFonts w:cs="Calibri"/>
                    <w:color w:val="auto"/>
                    <w:lang w:val="en-US"/>
                  </w:rPr>
                </w:pPr>
                <w:r w:rsidRPr="00CF5433">
                  <w:rPr>
                    <w:rFonts w:cs="Calibri"/>
                    <w:color w:val="auto"/>
                    <w:lang w:val="en-US"/>
                  </w:rPr>
                  <w:t xml:space="preserve">Presentation of results to the Activity team; validation of findings, dissemination to stakeholders, and participation in co-creation workshops. </w:t>
                </w:r>
                <w:r w:rsidR="008E2F38" w:rsidRPr="00CF5433">
                  <w:rPr>
                    <w:rFonts w:cs="Calibri"/>
                    <w:color w:val="auto"/>
                    <w:lang w:val="en-US"/>
                  </w:rPr>
                  <w:t>within 60 days of contract signature</w:t>
                </w:r>
              </w:p>
            </w:tc>
          </w:tr>
        </w:tbl>
        <w:p w14:paraId="602CAE84" w14:textId="4D45C76B" w:rsidR="00473482" w:rsidRPr="00CF5433" w:rsidRDefault="00D76A0C" w:rsidP="00D76A0C">
          <w:pPr>
            <w:pStyle w:val="Heading1"/>
            <w:rPr>
              <w:color w:val="auto"/>
              <w:sz w:val="28"/>
              <w:szCs w:val="28"/>
              <w:lang w:val="en-US"/>
            </w:rPr>
          </w:pPr>
          <w:r w:rsidRPr="00CF5433">
            <w:rPr>
              <w:color w:val="auto"/>
              <w:sz w:val="28"/>
              <w:szCs w:val="28"/>
              <w:lang w:val="en-US"/>
            </w:rPr>
            <w:lastRenderedPageBreak/>
            <w:t>Timeframe</w:t>
          </w:r>
          <w:r w:rsidR="00C13801" w:rsidRPr="00CF5433">
            <w:rPr>
              <w:color w:val="auto"/>
              <w:sz w:val="28"/>
              <w:szCs w:val="28"/>
              <w:lang w:val="en-US"/>
            </w:rPr>
            <w:t xml:space="preserve"> and Reporting</w:t>
          </w:r>
        </w:p>
        <w:tbl>
          <w:tblPr>
            <w:tblStyle w:val="TableGrid"/>
            <w:tblW w:w="0" w:type="auto"/>
            <w:tblLook w:val="04A0" w:firstRow="1" w:lastRow="0" w:firstColumn="1" w:lastColumn="0" w:noHBand="0" w:noVBand="1"/>
          </w:tblPr>
          <w:tblGrid>
            <w:gridCol w:w="8494"/>
          </w:tblGrid>
          <w:tr w:rsidR="00CF5433" w:rsidRPr="00CF5433" w14:paraId="602CAE8A" w14:textId="77777777" w:rsidTr="00BE6762">
            <w:tc>
              <w:tcPr>
                <w:tcW w:w="9166" w:type="dxa"/>
              </w:tcPr>
              <w:p w14:paraId="602CAE89" w14:textId="662F7786" w:rsidR="00473482" w:rsidRPr="00CF5433" w:rsidRDefault="00F915EB" w:rsidP="000B39D9">
                <w:pPr>
                  <w:autoSpaceDE w:val="0"/>
                  <w:autoSpaceDN w:val="0"/>
                  <w:adjustRightInd w:val="0"/>
                  <w:spacing w:before="100" w:beforeAutospacing="1" w:after="100" w:afterAutospacing="1"/>
                  <w:jc w:val="both"/>
                  <w:rPr>
                    <w:rFonts w:cs="Arial"/>
                    <w:color w:val="auto"/>
                  </w:rPr>
                </w:pPr>
                <w:r w:rsidRPr="00CF5433">
                  <w:rPr>
                    <w:rFonts w:cs="Arial"/>
                    <w:color w:val="auto"/>
                  </w:rPr>
                  <w:t xml:space="preserve">The duration </w:t>
                </w:r>
                <w:r w:rsidR="008C5A4C" w:rsidRPr="00CF5433">
                  <w:rPr>
                    <w:rFonts w:cs="Arial"/>
                    <w:color w:val="auto"/>
                  </w:rPr>
                  <w:t xml:space="preserve">performance for this assignment is approximately </w:t>
                </w:r>
                <w:r w:rsidR="00352208" w:rsidRPr="00CF5433">
                  <w:rPr>
                    <w:rFonts w:cs="Arial"/>
                    <w:color w:val="auto"/>
                  </w:rPr>
                  <w:t>60</w:t>
                </w:r>
                <w:r w:rsidRPr="00CF5433">
                  <w:rPr>
                    <w:rFonts w:cs="Arial"/>
                    <w:color w:val="auto"/>
                  </w:rPr>
                  <w:t xml:space="preserve"> days </w:t>
                </w:r>
                <w:r w:rsidR="008F7921" w:rsidRPr="00CF5433">
                  <w:rPr>
                    <w:rFonts w:cs="Arial"/>
                    <w:color w:val="auto"/>
                  </w:rPr>
                  <w:t xml:space="preserve">pro-rated working days </w:t>
                </w:r>
                <w:r w:rsidRPr="00CF5433">
                  <w:rPr>
                    <w:rFonts w:cs="Arial"/>
                    <w:color w:val="auto"/>
                  </w:rPr>
                  <w:t xml:space="preserve">to cover from </w:t>
                </w:r>
                <w:r w:rsidR="004B13AF" w:rsidRPr="00CF5433">
                  <w:rPr>
                    <w:rFonts w:cs="Arial"/>
                    <w:color w:val="auto"/>
                  </w:rPr>
                  <w:t>commencement</w:t>
                </w:r>
                <w:r w:rsidRPr="00CF5433">
                  <w:rPr>
                    <w:rFonts w:cs="Arial"/>
                    <w:color w:val="auto"/>
                  </w:rPr>
                  <w:t xml:space="preserve"> to the day of final report submission</w:t>
                </w:r>
                <w:r w:rsidR="001949DA" w:rsidRPr="00CF5433">
                  <w:rPr>
                    <w:rFonts w:cs="Arial"/>
                    <w:color w:val="auto"/>
                  </w:rPr>
                  <w:t>.</w:t>
                </w:r>
              </w:p>
            </w:tc>
          </w:tr>
        </w:tbl>
        <w:p w14:paraId="602CAE8D" w14:textId="3B9DA745" w:rsidR="00473482" w:rsidRPr="00CF5433" w:rsidRDefault="00D76A0C" w:rsidP="007066AD">
          <w:pPr>
            <w:pStyle w:val="Heading1"/>
            <w:rPr>
              <w:color w:val="auto"/>
              <w:sz w:val="28"/>
              <w:szCs w:val="28"/>
              <w:lang w:val="en-US"/>
            </w:rPr>
          </w:pPr>
          <w:r w:rsidRPr="00CF5433">
            <w:rPr>
              <w:color w:val="auto"/>
              <w:sz w:val="28"/>
              <w:szCs w:val="28"/>
              <w:lang w:val="en-US"/>
            </w:rPr>
            <w:t>Evaluation consultant team</w:t>
          </w:r>
        </w:p>
        <w:tbl>
          <w:tblPr>
            <w:tblStyle w:val="TableGrid"/>
            <w:tblW w:w="0" w:type="auto"/>
            <w:tblLook w:val="04A0" w:firstRow="1" w:lastRow="0" w:firstColumn="1" w:lastColumn="0" w:noHBand="0" w:noVBand="1"/>
          </w:tblPr>
          <w:tblGrid>
            <w:gridCol w:w="8494"/>
          </w:tblGrid>
          <w:tr w:rsidR="00CF5433" w:rsidRPr="00CF5433" w14:paraId="602CAEA2" w14:textId="77777777" w:rsidTr="00BE6762">
            <w:tc>
              <w:tcPr>
                <w:tcW w:w="9166" w:type="dxa"/>
              </w:tcPr>
              <w:p w14:paraId="36521337" w14:textId="77777777" w:rsidR="006804F1" w:rsidRPr="00CF5433" w:rsidRDefault="006804F1" w:rsidP="00BB53C9">
                <w:pPr>
                  <w:jc w:val="both"/>
                  <w:rPr>
                    <w:rFonts w:asciiTheme="majorHAnsi" w:hAnsiTheme="majorHAnsi" w:cs="Calibri"/>
                    <w:color w:val="auto"/>
                    <w:lang w:val="en-US"/>
                  </w:rPr>
                </w:pPr>
                <w:r w:rsidRPr="00CF5433">
                  <w:rPr>
                    <w:rFonts w:asciiTheme="majorHAnsi" w:hAnsiTheme="majorHAnsi" w:cs="Calibri"/>
                    <w:color w:val="auto"/>
                    <w:lang w:val="en-US"/>
                  </w:rPr>
                  <w:t xml:space="preserve">The consultancy is expected to be undertaken by a reputable university research team, an international firm, or a consortium of qualified experts with proven technical expertise across the key sectors relevant to the project. International firms are strongly encouraged to collaborate with local research institutions or universities to enhance contextual understanding, promote local capacity, and foster joint knowledge production. </w:t>
                </w:r>
              </w:p>
              <w:p w14:paraId="7D30A18C" w14:textId="77777777" w:rsidR="006804F1" w:rsidRPr="00CF5433" w:rsidRDefault="006804F1" w:rsidP="00BB53C9">
                <w:pPr>
                  <w:jc w:val="both"/>
                  <w:rPr>
                    <w:rFonts w:asciiTheme="majorHAnsi" w:hAnsiTheme="majorHAnsi" w:cs="Calibri"/>
                    <w:color w:val="auto"/>
                    <w:lang w:val="en-US"/>
                  </w:rPr>
                </w:pPr>
              </w:p>
              <w:p w14:paraId="5C0D873E" w14:textId="74752922" w:rsidR="003C1BDF" w:rsidRPr="00CF5433" w:rsidRDefault="006804F1" w:rsidP="00BB53C9">
                <w:pPr>
                  <w:jc w:val="both"/>
                  <w:rPr>
                    <w:rFonts w:asciiTheme="majorHAnsi" w:hAnsiTheme="majorHAnsi" w:cs="Calibri"/>
                    <w:color w:val="auto"/>
                    <w:lang w:val="en-US"/>
                  </w:rPr>
                </w:pPr>
                <w:r w:rsidRPr="00CF5433">
                  <w:rPr>
                    <w:rFonts w:asciiTheme="majorHAnsi" w:hAnsiTheme="majorHAnsi" w:cs="Calibri"/>
                    <w:color w:val="auto"/>
                    <w:lang w:val="en-US"/>
                  </w:rPr>
                  <w:t xml:space="preserve">Interested bidders </w:t>
                </w:r>
                <w:r w:rsidR="003C1BDF" w:rsidRPr="00CF5433">
                  <w:rPr>
                    <w:rFonts w:asciiTheme="majorHAnsi" w:hAnsiTheme="majorHAnsi" w:cs="Calibri"/>
                    <w:color w:val="auto"/>
                    <w:lang w:val="en-US"/>
                  </w:rPr>
                  <w:t>should be capable of delivering a comprehensive and high-quality assessment that reflects the integrated and multi-sectoral nature of the project’s implementation. The consultants must therefore demonstrate capacities in WASH, Health and Nutrition, Shelter, Livelihoods including agriculture, and protection. The selected consultant should have a track record of working in similar contexts and be able to synthesize findings across these sectors into an integrated and actionable evaluation report. The ability to engage with stakeholders, apply appropriate</w:t>
                </w:r>
                <w:r w:rsidR="00E17D06" w:rsidRPr="00CF5433">
                  <w:rPr>
                    <w:rFonts w:asciiTheme="majorHAnsi" w:hAnsiTheme="majorHAnsi"/>
                    <w:color w:val="auto"/>
                  </w:rPr>
                  <w:t xml:space="preserve"> </w:t>
                </w:r>
                <w:r w:rsidR="00E17D06" w:rsidRPr="00CF5433">
                  <w:rPr>
                    <w:rFonts w:asciiTheme="majorHAnsi" w:hAnsiTheme="majorHAnsi" w:cs="Calibri"/>
                    <w:color w:val="auto"/>
                    <w:lang w:val="en-US"/>
                  </w:rPr>
                  <w:t>methodologies, and provide strategic insights for program learning and adaptation is essential</w:t>
                </w:r>
              </w:p>
              <w:p w14:paraId="78E87823" w14:textId="77777777" w:rsidR="003C1BDF" w:rsidRPr="00CF5433" w:rsidRDefault="003C1BDF" w:rsidP="00BB53C9">
                <w:pPr>
                  <w:jc w:val="both"/>
                  <w:rPr>
                    <w:rFonts w:asciiTheme="majorHAnsi" w:hAnsiTheme="majorHAnsi" w:cs="Calibri"/>
                    <w:color w:val="auto"/>
                    <w:lang w:val="en-US"/>
                  </w:rPr>
                </w:pPr>
              </w:p>
              <w:p w14:paraId="602CAE8E" w14:textId="72C04EE2" w:rsidR="00473482" w:rsidRPr="00CF5433" w:rsidRDefault="00473482" w:rsidP="00BB53C9">
                <w:pPr>
                  <w:jc w:val="both"/>
                  <w:rPr>
                    <w:rFonts w:asciiTheme="majorHAnsi" w:hAnsiTheme="majorHAnsi" w:cs="Calibri"/>
                    <w:color w:val="auto"/>
                    <w:lang w:val="en-US"/>
                  </w:rPr>
                </w:pPr>
                <w:r w:rsidRPr="00CF5433">
                  <w:rPr>
                    <w:rFonts w:asciiTheme="majorHAnsi" w:hAnsiTheme="majorHAnsi" w:cs="Calibri"/>
                    <w:color w:val="auto"/>
                    <w:lang w:val="en-US"/>
                  </w:rPr>
                  <w:t>NRC seeks expressions of interest from people with the following skills/qualifications</w:t>
                </w:r>
                <w:r w:rsidR="006C2575" w:rsidRPr="00CF5433">
                  <w:rPr>
                    <w:rFonts w:asciiTheme="majorHAnsi" w:hAnsiTheme="majorHAnsi" w:cs="Calibri"/>
                    <w:color w:val="auto"/>
                    <w:lang w:val="en-US"/>
                  </w:rPr>
                  <w:t>.</w:t>
                </w:r>
              </w:p>
              <w:p w14:paraId="37B48B82" w14:textId="77777777" w:rsidR="002C0F42" w:rsidRPr="00CF5433" w:rsidRDefault="002C0F42"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 xml:space="preserve">Strong experience conducting major research exercises in support of major humanitarian programmes preferably in Health, Nutrition, WASH, Protection (including Child Protection, Women’s Protection and Empowerment, Protection and Rule of Law, and Protection from Violence), Shelter, and Livelihoods (including Agriculture) in complex or challenging operational environments. Prior experience in evaluating USAID-funded projects in Nigeria is highly desirable. </w:t>
                </w:r>
              </w:p>
              <w:p w14:paraId="79014305" w14:textId="424A4E8F" w:rsidR="00340347" w:rsidRPr="00CF5433" w:rsidRDefault="00340347"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 xml:space="preserve">Knowledge of strategic and operational management of </w:t>
                </w:r>
                <w:r w:rsidR="001917C9" w:rsidRPr="00CF5433">
                  <w:rPr>
                    <w:rFonts w:asciiTheme="majorHAnsi" w:hAnsiTheme="majorHAnsi" w:cs="Calibri"/>
                    <w:color w:val="auto"/>
                    <w:lang w:val="en-US"/>
                  </w:rPr>
                  <w:t xml:space="preserve">protracted </w:t>
                </w:r>
                <w:r w:rsidRPr="00CF5433">
                  <w:rPr>
                    <w:rFonts w:asciiTheme="majorHAnsi" w:hAnsiTheme="majorHAnsi" w:cs="Calibri"/>
                    <w:color w:val="auto"/>
                    <w:lang w:val="en-US"/>
                  </w:rPr>
                  <w:t>humanitarian operations and proven ability to provide strategic recommendations to key stakeholders.</w:t>
                </w:r>
              </w:p>
              <w:p w14:paraId="40750C61" w14:textId="6903953D" w:rsidR="00340347" w:rsidRPr="00CF5433" w:rsidRDefault="00340347"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Strong analytical skills and ability to clearly synthesize and present findings, draw practical conclusions, make recommendations and prepare well-written reports in a timely manner.</w:t>
                </w:r>
              </w:p>
              <w:p w14:paraId="6568BEED" w14:textId="5CF90D53" w:rsidR="00340347" w:rsidRPr="00CF5433" w:rsidRDefault="00340347"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Demonstrated experience in both quantitative and qualitative data collection and data analysis techniques and desk reviews, especially in emergency operations.</w:t>
                </w:r>
              </w:p>
              <w:p w14:paraId="2E24BBC0" w14:textId="0A6AD993" w:rsidR="001917C9" w:rsidRPr="00CF5433" w:rsidRDefault="00340347"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Experience, knowledge and clear understanding of Nigeria humanitarian context in Adamawa state</w:t>
                </w:r>
                <w:r w:rsidR="00B834BE" w:rsidRPr="00CF5433">
                  <w:rPr>
                    <w:rFonts w:asciiTheme="majorHAnsi" w:hAnsiTheme="majorHAnsi" w:cs="Calibri"/>
                    <w:color w:val="auto"/>
                    <w:lang w:val="en-US"/>
                  </w:rPr>
                  <w:t xml:space="preserve"> and willing</w:t>
                </w:r>
                <w:r w:rsidR="001917C9" w:rsidRPr="00CF5433">
                  <w:rPr>
                    <w:rFonts w:asciiTheme="majorHAnsi" w:hAnsiTheme="majorHAnsi" w:cs="Calibri"/>
                    <w:color w:val="auto"/>
                    <w:lang w:val="en-US"/>
                  </w:rPr>
                  <w:t xml:space="preserve"> to travel to deep field locations of Yola south, Numan, Michika and Madagali conduct direct standard assessment activities as well as field visits to program sites.</w:t>
                </w:r>
              </w:p>
              <w:p w14:paraId="7CB96E98" w14:textId="0CEAD0DF" w:rsidR="00340347" w:rsidRPr="00CF5433" w:rsidRDefault="00340347"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Good interpersonal skills and understanding cultural sensitivities.</w:t>
                </w:r>
              </w:p>
              <w:p w14:paraId="03E99FFC" w14:textId="77777777" w:rsidR="00D76A0C" w:rsidRPr="00CF5433" w:rsidRDefault="00340347"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Master's Degree, PhDs / Doctorates qualification</w:t>
                </w:r>
                <w:r w:rsidR="00B569CB" w:rsidRPr="00CF5433">
                  <w:rPr>
                    <w:rFonts w:asciiTheme="majorHAnsi" w:hAnsiTheme="majorHAnsi" w:cs="Calibri"/>
                    <w:color w:val="auto"/>
                    <w:lang w:val="en-US"/>
                  </w:rPr>
                  <w:t xml:space="preserve"> with a </w:t>
                </w:r>
                <w:r w:rsidR="00816F89" w:rsidRPr="00CF5433">
                  <w:rPr>
                    <w:rFonts w:asciiTheme="majorHAnsi" w:hAnsiTheme="majorHAnsi" w:cs="Calibri"/>
                    <w:color w:val="auto"/>
                    <w:lang w:val="en-US"/>
                  </w:rPr>
                  <w:t>minimum of</w:t>
                </w:r>
                <w:r w:rsidRPr="00CF5433">
                  <w:rPr>
                    <w:rFonts w:asciiTheme="majorHAnsi" w:hAnsiTheme="majorHAnsi" w:cs="Calibri"/>
                    <w:color w:val="auto"/>
                    <w:lang w:val="en-US"/>
                  </w:rPr>
                  <w:t xml:space="preserve"> ten (10) years of relevant professional experience</w:t>
                </w:r>
                <w:r w:rsidR="00B569CB" w:rsidRPr="00CF5433">
                  <w:rPr>
                    <w:rFonts w:asciiTheme="majorHAnsi" w:hAnsiTheme="majorHAnsi" w:cs="Calibri"/>
                    <w:color w:val="auto"/>
                    <w:lang w:val="en-US"/>
                  </w:rPr>
                  <w:t xml:space="preserve"> in conducting similar </w:t>
                </w:r>
                <w:r w:rsidR="00071DFD" w:rsidRPr="00CF5433">
                  <w:rPr>
                    <w:rFonts w:asciiTheme="majorHAnsi" w:hAnsiTheme="majorHAnsi" w:cs="Calibri"/>
                    <w:color w:val="auto"/>
                    <w:lang w:val="en-US"/>
                  </w:rPr>
                  <w:t>interventions</w:t>
                </w:r>
              </w:p>
              <w:p w14:paraId="57DC494A" w14:textId="38F472BA" w:rsidR="004E3D5E" w:rsidRPr="00CF5433" w:rsidRDefault="006804F1" w:rsidP="006C2575">
                <w:pPr>
                  <w:pStyle w:val="ListParagraph"/>
                  <w:numPr>
                    <w:ilvl w:val="0"/>
                    <w:numId w:val="11"/>
                  </w:numPr>
                  <w:spacing w:after="0"/>
                  <w:jc w:val="both"/>
                  <w:rPr>
                    <w:rFonts w:asciiTheme="majorHAnsi" w:hAnsiTheme="majorHAnsi" w:cs="Calibri"/>
                    <w:color w:val="auto"/>
                    <w:lang w:val="en-US"/>
                  </w:rPr>
                </w:pPr>
                <w:r w:rsidRPr="00CF5433">
                  <w:rPr>
                    <w:rFonts w:asciiTheme="majorHAnsi" w:hAnsiTheme="majorHAnsi" w:cs="Calibri"/>
                    <w:color w:val="auto"/>
                    <w:lang w:val="en-US"/>
                  </w:rPr>
                  <w:t>Qualified university research teams are particularly encouraged to submit expressions of interest.</w:t>
                </w:r>
              </w:p>
              <w:p w14:paraId="602CAEA1" w14:textId="379F17F9" w:rsidR="006C2575" w:rsidRPr="00CF5433" w:rsidRDefault="006C2575" w:rsidP="004E3D5E">
                <w:pPr>
                  <w:jc w:val="both"/>
                  <w:rPr>
                    <w:rFonts w:asciiTheme="majorHAnsi" w:hAnsiTheme="majorHAnsi" w:cs="Calibri"/>
                    <w:color w:val="auto"/>
                    <w:lang w:val="en-US"/>
                  </w:rPr>
                </w:pPr>
              </w:p>
            </w:tc>
          </w:tr>
        </w:tbl>
        <w:p w14:paraId="602CAEA5" w14:textId="2D5BD77F" w:rsidR="00473482" w:rsidRPr="00CF5433" w:rsidRDefault="00D76A0C" w:rsidP="0092421D">
          <w:pPr>
            <w:pStyle w:val="Heading1"/>
            <w:rPr>
              <w:color w:val="auto"/>
              <w:sz w:val="28"/>
              <w:szCs w:val="28"/>
              <w:lang w:val="en-US"/>
            </w:rPr>
          </w:pPr>
          <w:r w:rsidRPr="00CF5433">
            <w:rPr>
              <w:color w:val="auto"/>
              <w:sz w:val="28"/>
              <w:szCs w:val="28"/>
              <w:lang w:val="en-US"/>
            </w:rPr>
            <w:lastRenderedPageBreak/>
            <w:t>Application process and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CF5433" w:rsidRPr="00CF5433" w14:paraId="602CAEAD" w14:textId="77777777" w:rsidTr="00BE6762">
            <w:tc>
              <w:tcPr>
                <w:tcW w:w="8856" w:type="dxa"/>
                <w:tcBorders>
                  <w:top w:val="single" w:sz="12" w:space="0" w:color="auto"/>
                  <w:left w:val="single" w:sz="12" w:space="0" w:color="auto"/>
                  <w:bottom w:val="single" w:sz="12" w:space="0" w:color="auto"/>
                  <w:right w:val="single" w:sz="12" w:space="0" w:color="auto"/>
                </w:tcBorders>
              </w:tcPr>
              <w:p w14:paraId="3BDF1BE8" w14:textId="77777777" w:rsidR="00AA4502" w:rsidRPr="00CF5433" w:rsidRDefault="00AA4502" w:rsidP="00AA4502">
                <w:pPr>
                  <w:autoSpaceDE w:val="0"/>
                  <w:autoSpaceDN w:val="0"/>
                  <w:adjustRightInd w:val="0"/>
                  <w:spacing w:after="120" w:line="256" w:lineRule="auto"/>
                  <w:jc w:val="both"/>
                  <w:rPr>
                    <w:rFonts w:asciiTheme="majorHAnsi" w:hAnsiTheme="majorHAnsi" w:cs="Calibri"/>
                    <w:color w:val="auto"/>
                    <w:lang w:val="en-US"/>
                  </w:rPr>
                </w:pPr>
                <w:r w:rsidRPr="00CF5433">
                  <w:rPr>
                    <w:rFonts w:asciiTheme="majorHAnsi" w:hAnsiTheme="majorHAnsi" w:cs="Calibri"/>
                    <w:color w:val="auto"/>
                    <w:lang w:val="en-US"/>
                  </w:rPr>
                  <w:t>Assessment and Award of the Assignment:</w:t>
                </w:r>
              </w:p>
              <w:p w14:paraId="793E78A8" w14:textId="35150FE5" w:rsidR="00AA4502" w:rsidRPr="00CF5433" w:rsidRDefault="00AA4502" w:rsidP="0093344D">
                <w:pPr>
                  <w:pStyle w:val="ListParagraph"/>
                  <w:numPr>
                    <w:ilvl w:val="0"/>
                    <w:numId w:val="12"/>
                  </w:numPr>
                  <w:autoSpaceDE w:val="0"/>
                  <w:autoSpaceDN w:val="0"/>
                  <w:adjustRightInd w:val="0"/>
                  <w:spacing w:after="120" w:line="256" w:lineRule="auto"/>
                  <w:jc w:val="both"/>
                  <w:rPr>
                    <w:rFonts w:asciiTheme="majorHAnsi" w:hAnsiTheme="majorHAnsi" w:cs="Calibri"/>
                    <w:color w:val="auto"/>
                    <w:lang w:val="en-US"/>
                  </w:rPr>
                </w:pPr>
                <w:r w:rsidRPr="00CF5433">
                  <w:rPr>
                    <w:rFonts w:asciiTheme="majorHAnsi" w:hAnsiTheme="majorHAnsi" w:cs="Calibri"/>
                    <w:color w:val="auto"/>
                    <w:lang w:val="en-US"/>
                  </w:rPr>
                  <w:t xml:space="preserve">NRC will evaluate technical and financial proposals (include accommodation, flights and enumerators management costs) and award the assignment based on technical and financial feasibility. NRC reserves the right to </w:t>
                </w:r>
                <w:r w:rsidR="00804088" w:rsidRPr="00CF5433">
                  <w:rPr>
                    <w:rFonts w:asciiTheme="majorHAnsi" w:hAnsiTheme="majorHAnsi" w:cs="Calibri"/>
                    <w:color w:val="auto"/>
                    <w:lang w:val="en-US"/>
                  </w:rPr>
                  <w:t>accept or</w:t>
                </w:r>
                <w:r w:rsidRPr="00CF5433">
                  <w:rPr>
                    <w:rFonts w:asciiTheme="majorHAnsi" w:hAnsiTheme="majorHAnsi" w:cs="Calibri"/>
                    <w:color w:val="auto"/>
                    <w:lang w:val="en-US"/>
                  </w:rPr>
                  <w:t xml:space="preserve"> reject one or all proposals received without assigning any </w:t>
                </w:r>
                <w:r w:rsidR="00862B04" w:rsidRPr="00CF5433">
                  <w:rPr>
                    <w:rFonts w:asciiTheme="majorHAnsi" w:hAnsiTheme="majorHAnsi" w:cs="Calibri"/>
                    <w:color w:val="auto"/>
                    <w:lang w:val="en-US"/>
                  </w:rPr>
                  <w:t>reason and</w:t>
                </w:r>
                <w:r w:rsidRPr="00CF5433">
                  <w:rPr>
                    <w:rFonts w:asciiTheme="majorHAnsi" w:hAnsiTheme="majorHAnsi" w:cs="Calibri"/>
                    <w:color w:val="auto"/>
                    <w:lang w:val="en-US"/>
                  </w:rPr>
                  <w:t xml:space="preserve"> is not bound to accept the lowest or the highest bidder. </w:t>
                </w:r>
                <w:r w:rsidR="00563F52">
                  <w:rPr>
                    <w:rFonts w:asciiTheme="majorHAnsi" w:hAnsiTheme="majorHAnsi" w:cs="Calibri"/>
                    <w:color w:val="auto"/>
                    <w:lang w:val="en-US"/>
                  </w:rPr>
                  <w:t>ugu</w:t>
                </w:r>
                <w:r w:rsidRPr="00CF5433">
                  <w:rPr>
                    <w:rFonts w:asciiTheme="majorHAnsi" w:hAnsiTheme="majorHAnsi" w:cs="Calibri"/>
                    <w:color w:val="auto"/>
                    <w:lang w:val="en-US"/>
                  </w:rPr>
                  <w:t>Only shortlisted will be contacted.</w:t>
                </w:r>
              </w:p>
              <w:p w14:paraId="317B7C82" w14:textId="5BEE6533" w:rsidR="00AA4502" w:rsidRPr="00CF5433" w:rsidRDefault="00AA4502" w:rsidP="0093344D">
                <w:pPr>
                  <w:pStyle w:val="ListParagraph"/>
                  <w:numPr>
                    <w:ilvl w:val="0"/>
                    <w:numId w:val="12"/>
                  </w:numPr>
                  <w:autoSpaceDE w:val="0"/>
                  <w:autoSpaceDN w:val="0"/>
                  <w:adjustRightInd w:val="0"/>
                  <w:spacing w:after="120" w:line="256" w:lineRule="auto"/>
                  <w:jc w:val="both"/>
                  <w:rPr>
                    <w:rFonts w:asciiTheme="majorHAnsi" w:hAnsiTheme="majorHAnsi" w:cs="Calibri"/>
                    <w:color w:val="auto"/>
                    <w:lang w:val="en-US"/>
                  </w:rPr>
                </w:pPr>
                <w:r w:rsidRPr="00CF5433">
                  <w:rPr>
                    <w:rFonts w:asciiTheme="majorHAnsi" w:hAnsiTheme="majorHAnsi" w:cs="Calibri"/>
                    <w:color w:val="auto"/>
                    <w:lang w:val="en-US"/>
                  </w:rPr>
                  <w:t>Any sub-contracting under this evaluation consultancy will not be accepted.</w:t>
                </w:r>
              </w:p>
              <w:p w14:paraId="602CAEA6" w14:textId="1C02C63B" w:rsidR="00473482" w:rsidRPr="00CF5433" w:rsidRDefault="00473482" w:rsidP="00BB53C9">
                <w:pPr>
                  <w:autoSpaceDE w:val="0"/>
                  <w:autoSpaceDN w:val="0"/>
                  <w:adjustRightInd w:val="0"/>
                  <w:spacing w:after="120" w:line="256" w:lineRule="auto"/>
                  <w:jc w:val="both"/>
                  <w:rPr>
                    <w:rFonts w:asciiTheme="majorHAnsi" w:hAnsiTheme="majorHAnsi" w:cs="Calibri"/>
                    <w:b/>
                    <w:bCs/>
                    <w:color w:val="auto"/>
                    <w:lang w:val="en-US"/>
                  </w:rPr>
                </w:pPr>
                <w:r w:rsidRPr="00CF5433">
                  <w:rPr>
                    <w:rFonts w:asciiTheme="majorHAnsi" w:hAnsiTheme="majorHAnsi" w:cs="Calibri"/>
                    <w:b/>
                    <w:bCs/>
                    <w:color w:val="auto"/>
                    <w:lang w:val="en-US"/>
                  </w:rPr>
                  <w:t xml:space="preserve">Application Deadline:   </w:t>
                </w:r>
              </w:p>
              <w:p w14:paraId="602CAEA8" w14:textId="77777777" w:rsidR="00473482" w:rsidRPr="00CF5433" w:rsidRDefault="00473482" w:rsidP="00BB53C9">
                <w:pPr>
                  <w:autoSpaceDE w:val="0"/>
                  <w:autoSpaceDN w:val="0"/>
                  <w:adjustRightInd w:val="0"/>
                  <w:spacing w:after="120" w:line="256" w:lineRule="auto"/>
                  <w:jc w:val="both"/>
                  <w:rPr>
                    <w:rFonts w:asciiTheme="majorHAnsi" w:hAnsiTheme="majorHAnsi" w:cs="Calibri"/>
                    <w:color w:val="auto"/>
                    <w:lang w:val="en-US"/>
                  </w:rPr>
                </w:pPr>
                <w:r w:rsidRPr="00CF5433">
                  <w:rPr>
                    <w:rFonts w:asciiTheme="majorHAnsi" w:hAnsiTheme="majorHAnsi" w:cs="Calibri"/>
                    <w:color w:val="auto"/>
                    <w:lang w:val="en-US"/>
                  </w:rPr>
                  <w:t>Bids must include the following:</w:t>
                </w:r>
              </w:p>
              <w:p w14:paraId="0D8A33C0" w14:textId="77777777" w:rsidR="00AC0E13" w:rsidRPr="00CF5433" w:rsidRDefault="00AC0E13" w:rsidP="0093344D">
                <w:pPr>
                  <w:numPr>
                    <w:ilvl w:val="0"/>
                    <w:numId w:val="5"/>
                  </w:numPr>
                  <w:autoSpaceDE w:val="0"/>
                  <w:autoSpaceDN w:val="0"/>
                  <w:adjustRightInd w:val="0"/>
                  <w:spacing w:after="60" w:line="256" w:lineRule="auto"/>
                  <w:jc w:val="both"/>
                  <w:rPr>
                    <w:rFonts w:asciiTheme="majorHAnsi" w:hAnsiTheme="majorHAnsi" w:cs="Calibri"/>
                    <w:color w:val="auto"/>
                    <w:lang w:val="en-US"/>
                  </w:rPr>
                </w:pPr>
                <w:r w:rsidRPr="00CF5433">
                  <w:rPr>
                    <w:rFonts w:asciiTheme="majorHAnsi" w:hAnsiTheme="majorHAnsi" w:cs="Calibri"/>
                    <w:color w:val="auto"/>
                    <w:lang w:val="en-US"/>
                  </w:rPr>
                  <w:t>Cover letter: A short (maximum three pages) letter addressing the evaluation criteria.</w:t>
                </w:r>
              </w:p>
              <w:p w14:paraId="2AD44A0B" w14:textId="7477A0A6" w:rsidR="00AC0E13" w:rsidRPr="00CF5433" w:rsidRDefault="00AC0E13" w:rsidP="0093344D">
                <w:pPr>
                  <w:numPr>
                    <w:ilvl w:val="0"/>
                    <w:numId w:val="5"/>
                  </w:numPr>
                  <w:autoSpaceDE w:val="0"/>
                  <w:autoSpaceDN w:val="0"/>
                  <w:adjustRightInd w:val="0"/>
                  <w:spacing w:after="60" w:line="256" w:lineRule="auto"/>
                  <w:jc w:val="both"/>
                  <w:rPr>
                    <w:rFonts w:asciiTheme="majorHAnsi" w:hAnsiTheme="majorHAnsi" w:cs="Calibri"/>
                    <w:color w:val="auto"/>
                    <w:lang w:val="en-US"/>
                  </w:rPr>
                </w:pPr>
                <w:r w:rsidRPr="00CF5433">
                  <w:rPr>
                    <w:rFonts w:asciiTheme="majorHAnsi" w:hAnsiTheme="majorHAnsi" w:cs="Calibri"/>
                    <w:color w:val="auto"/>
                    <w:lang w:val="en-US"/>
                  </w:rPr>
                  <w:t>A detailed curriculum vitae</w:t>
                </w:r>
              </w:p>
              <w:p w14:paraId="4746824D" w14:textId="77777777" w:rsidR="00563F52" w:rsidRPr="00E25D7E" w:rsidRDefault="00563F52" w:rsidP="00563F52">
                <w:pPr>
                  <w:pStyle w:val="ListParagraph"/>
                  <w:numPr>
                    <w:ilvl w:val="0"/>
                    <w:numId w:val="5"/>
                  </w:numPr>
                  <w:spacing w:after="0"/>
                </w:pPr>
                <w:r w:rsidRPr="00E25D7E">
                  <w:t>For consulting firms, all the above documents must be submitted as part of the application.</w:t>
                </w:r>
              </w:p>
              <w:p w14:paraId="770197BD" w14:textId="77777777" w:rsidR="00563F52" w:rsidRPr="00E25D7E" w:rsidRDefault="00563F52" w:rsidP="00563F52">
                <w:pPr>
                  <w:pStyle w:val="ListParagraph"/>
                  <w:numPr>
                    <w:ilvl w:val="0"/>
                    <w:numId w:val="15"/>
                  </w:numPr>
                  <w:spacing w:after="0"/>
                  <w:contextualSpacing/>
                </w:pPr>
                <w:r w:rsidRPr="00E25D7E">
                  <w:rPr>
                    <w:rFonts w:cstheme="minorHAnsi"/>
                    <w:lang w:eastAsia="en-GB"/>
                  </w:rPr>
                  <w:t>Certified copy of certificate of registration/Incorporation</w:t>
                </w:r>
              </w:p>
              <w:p w14:paraId="132730B6" w14:textId="77777777" w:rsidR="00563F52" w:rsidRPr="00E25D7E" w:rsidRDefault="00563F52" w:rsidP="00563F52">
                <w:pPr>
                  <w:pStyle w:val="ListParagraph"/>
                  <w:numPr>
                    <w:ilvl w:val="0"/>
                    <w:numId w:val="15"/>
                  </w:numPr>
                  <w:spacing w:after="0" w:line="240" w:lineRule="auto"/>
                  <w:contextualSpacing/>
                  <w:jc w:val="both"/>
                  <w:rPr>
                    <w:rFonts w:cstheme="minorHAnsi"/>
                    <w:lang w:eastAsia="en-GB"/>
                  </w:rPr>
                </w:pPr>
                <w:r w:rsidRPr="00E25D7E">
                  <w:rPr>
                    <w:rFonts w:cstheme="minorHAnsi"/>
                    <w:lang w:eastAsia="en-GB"/>
                  </w:rPr>
                  <w:t>Certified copy of valid Tax compliance certificate.</w:t>
                </w:r>
              </w:p>
              <w:p w14:paraId="43E87111" w14:textId="38DD34A6" w:rsidR="00563F52" w:rsidRPr="00563F52" w:rsidRDefault="00563F52" w:rsidP="00563F52">
                <w:pPr>
                  <w:pStyle w:val="ListParagraph"/>
                  <w:numPr>
                    <w:ilvl w:val="0"/>
                    <w:numId w:val="16"/>
                  </w:numPr>
                  <w:spacing w:after="0"/>
                </w:pPr>
                <w:r>
                  <w:t>a</w:t>
                </w:r>
                <w:r w:rsidRPr="006573A5">
                  <w:t>Individual consultants must also clearly demonstrate relevant experience in similar assignments.</w:t>
                </w:r>
              </w:p>
              <w:p w14:paraId="3A041147" w14:textId="778FC522" w:rsidR="00C37F32" w:rsidRPr="00CF5433" w:rsidRDefault="00FF2071" w:rsidP="0093344D">
                <w:pPr>
                  <w:numPr>
                    <w:ilvl w:val="0"/>
                    <w:numId w:val="5"/>
                  </w:numPr>
                  <w:autoSpaceDE w:val="0"/>
                  <w:autoSpaceDN w:val="0"/>
                  <w:adjustRightInd w:val="0"/>
                  <w:spacing w:after="60" w:line="256" w:lineRule="auto"/>
                  <w:jc w:val="both"/>
                  <w:rPr>
                    <w:rFonts w:asciiTheme="majorHAnsi" w:hAnsiTheme="majorHAnsi" w:cs="Calibri"/>
                    <w:color w:val="auto"/>
                    <w:lang w:val="en-US"/>
                  </w:rPr>
                </w:pPr>
                <w:r w:rsidRPr="00CF5433">
                  <w:rPr>
                    <w:rFonts w:asciiTheme="majorHAnsi" w:hAnsiTheme="majorHAnsi" w:cs="Calibri"/>
                    <w:color w:val="auto"/>
                    <w:lang w:val="en-US"/>
                  </w:rPr>
                  <w:t>Three written</w:t>
                </w:r>
                <w:r w:rsidR="00C37F32" w:rsidRPr="00CF5433">
                  <w:rPr>
                    <w:rFonts w:asciiTheme="majorHAnsi" w:hAnsiTheme="majorHAnsi" w:cs="Calibri"/>
                    <w:color w:val="auto"/>
                    <w:lang w:val="en-US"/>
                  </w:rPr>
                  <w:t xml:space="preserve"> sample</w:t>
                </w:r>
                <w:r w:rsidRPr="00CF5433">
                  <w:rPr>
                    <w:rFonts w:asciiTheme="majorHAnsi" w:hAnsiTheme="majorHAnsi" w:cs="Calibri"/>
                    <w:color w:val="auto"/>
                    <w:lang w:val="en-US"/>
                  </w:rPr>
                  <w:t>s</w:t>
                </w:r>
                <w:r w:rsidR="00C37F32" w:rsidRPr="00CF5433">
                  <w:rPr>
                    <w:rFonts w:asciiTheme="majorHAnsi" w:hAnsiTheme="majorHAnsi" w:cs="Calibri"/>
                    <w:color w:val="auto"/>
                    <w:lang w:val="en-US"/>
                  </w:rPr>
                  <w:t xml:space="preserve"> of similar work done previously.</w:t>
                </w:r>
              </w:p>
              <w:p w14:paraId="602CAEA9" w14:textId="5D7D2A24" w:rsidR="00473482" w:rsidRPr="00CF5433" w:rsidRDefault="00C227B5" w:rsidP="0093344D">
                <w:pPr>
                  <w:numPr>
                    <w:ilvl w:val="0"/>
                    <w:numId w:val="5"/>
                  </w:numPr>
                  <w:autoSpaceDE w:val="0"/>
                  <w:autoSpaceDN w:val="0"/>
                  <w:adjustRightInd w:val="0"/>
                  <w:spacing w:after="60" w:line="256" w:lineRule="auto"/>
                  <w:jc w:val="both"/>
                  <w:rPr>
                    <w:rFonts w:asciiTheme="majorHAnsi" w:hAnsiTheme="majorHAnsi" w:cs="Calibri"/>
                    <w:color w:val="auto"/>
                    <w:lang w:val="en-US"/>
                  </w:rPr>
                </w:pPr>
                <w:r w:rsidRPr="00CF5433">
                  <w:rPr>
                    <w:rFonts w:asciiTheme="majorHAnsi" w:hAnsiTheme="majorHAnsi" w:cs="Calibri"/>
                    <w:color w:val="auto"/>
                    <w:lang w:val="en-US"/>
                  </w:rPr>
                  <w:t>The proposal</w:t>
                </w:r>
                <w:r w:rsidR="00473482" w:rsidRPr="00CF5433">
                  <w:rPr>
                    <w:rFonts w:asciiTheme="majorHAnsi" w:hAnsiTheme="majorHAnsi" w:cs="Calibri"/>
                    <w:color w:val="auto"/>
                    <w:lang w:val="en-US"/>
                  </w:rPr>
                  <w:t xml:space="preserve"> </w:t>
                </w:r>
                <w:r w:rsidRPr="00CF5433">
                  <w:rPr>
                    <w:rFonts w:asciiTheme="majorHAnsi" w:hAnsiTheme="majorHAnsi" w:cs="Calibri"/>
                    <w:color w:val="auto"/>
                    <w:lang w:val="en-US"/>
                  </w:rPr>
                  <w:t xml:space="preserve">includes </w:t>
                </w:r>
                <w:r w:rsidR="00C37F32" w:rsidRPr="00CF5433">
                  <w:rPr>
                    <w:rFonts w:asciiTheme="majorHAnsi" w:hAnsiTheme="majorHAnsi" w:cs="Calibri"/>
                    <w:color w:val="auto"/>
                    <w:lang w:val="en-US"/>
                  </w:rPr>
                  <w:t>an outline</w:t>
                </w:r>
                <w:r w:rsidR="00473482" w:rsidRPr="00CF5433">
                  <w:rPr>
                    <w:rFonts w:asciiTheme="majorHAnsi" w:hAnsiTheme="majorHAnsi" w:cs="Calibri"/>
                    <w:color w:val="auto"/>
                    <w:lang w:val="en-US"/>
                  </w:rPr>
                  <w:t xml:space="preserve"> of evaluation framework and methods, </w:t>
                </w:r>
                <w:r w:rsidR="000F65F8" w:rsidRPr="00CF5433">
                  <w:rPr>
                    <w:rFonts w:asciiTheme="majorHAnsi" w:hAnsiTheme="majorHAnsi" w:cs="Calibri"/>
                    <w:color w:val="auto"/>
                    <w:lang w:val="en-US"/>
                  </w:rPr>
                  <w:t>including comments</w:t>
                </w:r>
                <w:r w:rsidR="00473482" w:rsidRPr="00CF5433">
                  <w:rPr>
                    <w:rFonts w:asciiTheme="majorHAnsi" w:hAnsiTheme="majorHAnsi" w:cs="Calibri"/>
                    <w:color w:val="auto"/>
                    <w:lang w:val="en-US"/>
                  </w:rPr>
                  <w:t xml:space="preserve"> on the TOR, proposed time frame and work plan (bids over 3 pages will be automatically excluded).</w:t>
                </w:r>
              </w:p>
              <w:p w14:paraId="6C35D19C" w14:textId="50C226BC" w:rsidR="000F65F8" w:rsidRPr="00CF5433" w:rsidRDefault="000F65F8" w:rsidP="0093344D">
                <w:pPr>
                  <w:pStyle w:val="ListParagraph"/>
                  <w:numPr>
                    <w:ilvl w:val="0"/>
                    <w:numId w:val="5"/>
                  </w:numPr>
                  <w:rPr>
                    <w:rFonts w:asciiTheme="majorHAnsi" w:hAnsiTheme="majorHAnsi" w:cs="Calibri"/>
                    <w:color w:val="auto"/>
                    <w:lang w:val="en-US"/>
                  </w:rPr>
                </w:pPr>
                <w:r w:rsidRPr="00CF5433">
                  <w:rPr>
                    <w:rFonts w:asciiTheme="majorHAnsi" w:hAnsiTheme="majorHAnsi" w:cs="Calibri"/>
                    <w:color w:val="auto"/>
                    <w:lang w:val="en-US"/>
                  </w:rPr>
                  <w:t xml:space="preserve">Financial Proposal: The financial proposal should provide cost estimates for services rendered including daily consultancy fees excluding accommodation and living costs; transport cost; </w:t>
                </w:r>
                <w:r w:rsidR="00C227B5" w:rsidRPr="00CF5433">
                  <w:rPr>
                    <w:rFonts w:asciiTheme="majorHAnsi" w:hAnsiTheme="majorHAnsi" w:cs="Calibri"/>
                    <w:color w:val="auto"/>
                    <w:lang w:val="en-US"/>
                  </w:rPr>
                  <w:t>stationery</w:t>
                </w:r>
                <w:r w:rsidRPr="00CF5433">
                  <w:rPr>
                    <w:rFonts w:asciiTheme="majorHAnsi" w:hAnsiTheme="majorHAnsi" w:cs="Calibri"/>
                    <w:color w:val="auto"/>
                    <w:lang w:val="en-US"/>
                  </w:rPr>
                  <w:t>, and supplies needed for data collection; costs related to persons that will take part from consortium partners and government authorities during evaluation process, enrichment workshop.</w:t>
                </w:r>
              </w:p>
              <w:p w14:paraId="602CAEAC" w14:textId="025EF3B0" w:rsidR="00473482" w:rsidRPr="00CF5433" w:rsidRDefault="00473482" w:rsidP="006C2575">
                <w:pPr>
                  <w:pStyle w:val="ListParagraph"/>
                  <w:numPr>
                    <w:ilvl w:val="0"/>
                    <w:numId w:val="5"/>
                  </w:numPr>
                  <w:autoSpaceDE w:val="0"/>
                  <w:autoSpaceDN w:val="0"/>
                  <w:adjustRightInd w:val="0"/>
                  <w:spacing w:after="60" w:line="256" w:lineRule="auto"/>
                  <w:jc w:val="both"/>
                  <w:rPr>
                    <w:rFonts w:asciiTheme="majorHAnsi" w:hAnsiTheme="majorHAnsi" w:cs="Calibri"/>
                    <w:color w:val="auto"/>
                    <w:lang w:val="en-US"/>
                  </w:rPr>
                </w:pPr>
                <w:r w:rsidRPr="00CF5433">
                  <w:rPr>
                    <w:rFonts w:asciiTheme="majorHAnsi" w:hAnsiTheme="majorHAnsi" w:cs="Calibri"/>
                    <w:color w:val="auto"/>
                    <w:lang w:val="en-US"/>
                  </w:rPr>
                  <w:t xml:space="preserve">Submit completed bids to </w:t>
                </w:r>
                <w:r w:rsidR="00655A91" w:rsidRPr="00686008">
                  <w:rPr>
                    <w:rFonts w:cstheme="minorHAnsi"/>
                    <w:b/>
                  </w:rPr>
                  <w:t>“29/NRC-NAT/NG/2025” – “Consultancy</w:t>
                </w:r>
                <w:r w:rsidR="00655A91" w:rsidRPr="00E44E28">
                  <w:rPr>
                    <w:rFonts w:cstheme="minorHAnsi"/>
                    <w:b/>
                  </w:rPr>
                  <w:t xml:space="preserve"> to carry out </w:t>
                </w:r>
                <w:r w:rsidR="00655A91" w:rsidRPr="00E44E28">
                  <w:rPr>
                    <w:b/>
                  </w:rPr>
                  <w:t>End line Evaluation for the E2R Project in Adamawa State, Nigeria</w:t>
                </w:r>
                <w:r w:rsidR="00655A91" w:rsidRPr="00E44E28">
                  <w:rPr>
                    <w:rFonts w:cstheme="minorHAnsi"/>
                    <w:b/>
                  </w:rPr>
                  <w:t>”</w:t>
                </w:r>
              </w:p>
            </w:tc>
          </w:tr>
        </w:tbl>
        <w:p w14:paraId="602CAEAE" w14:textId="77777777" w:rsidR="00864BC7" w:rsidRPr="00864BC7" w:rsidRDefault="00000000" w:rsidP="00864BC7"/>
      </w:sdtContent>
    </w:sdt>
    <w:p w14:paraId="602CAEAF" w14:textId="77777777" w:rsidR="009854AC" w:rsidRPr="0081194C" w:rsidRDefault="009854AC" w:rsidP="00BA1C41"/>
    <w:p w14:paraId="602CAEB0" w14:textId="77777777" w:rsidR="00F841EC" w:rsidRPr="0081194C" w:rsidRDefault="00F841EC">
      <w:pPr>
        <w:rPr>
          <w:rFonts w:ascii="Franklin Gothic Medium" w:eastAsiaTheme="majorEastAsia" w:hAnsi="Franklin Gothic Medium" w:cstheme="majorBidi"/>
          <w:iCs/>
          <w:caps/>
        </w:rPr>
        <w:sectPr w:rsidR="00F841EC" w:rsidRPr="0081194C" w:rsidSect="00412F70">
          <w:headerReference w:type="default" r:id="rId13"/>
          <w:footerReference w:type="default" r:id="rId14"/>
          <w:pgSz w:w="11906" w:h="16838" w:code="9"/>
          <w:pgMar w:top="1701" w:right="1701" w:bottom="1985" w:left="1701" w:header="709" w:footer="567" w:gutter="0"/>
          <w:cols w:space="708"/>
          <w:docGrid w:linePitch="360"/>
        </w:sect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3"/>
        <w:gridCol w:w="3963"/>
      </w:tblGrid>
      <w:tr w:rsidR="00F841EC" w:rsidRPr="0081194C" w14:paraId="602CAEB3" w14:textId="77777777" w:rsidTr="00BE6762">
        <w:tc>
          <w:tcPr>
            <w:tcW w:w="3963" w:type="dxa"/>
          </w:tcPr>
          <w:p w14:paraId="602CAEB1" w14:textId="77777777" w:rsidR="00F841EC" w:rsidRPr="0081194C" w:rsidRDefault="00F841EC" w:rsidP="00F841EC">
            <w:pPr>
              <w:spacing w:after="300"/>
            </w:pPr>
            <w:r w:rsidRPr="0081194C">
              <w:lastRenderedPageBreak/>
              <w:t>www.nrc.no</w:t>
            </w:r>
          </w:p>
        </w:tc>
        <w:tc>
          <w:tcPr>
            <w:tcW w:w="3963" w:type="dxa"/>
          </w:tcPr>
          <w:p w14:paraId="602CAEB2" w14:textId="77777777" w:rsidR="00F841EC" w:rsidRPr="0081194C" w:rsidRDefault="00F841EC" w:rsidP="00F841EC"/>
        </w:tc>
      </w:tr>
      <w:tr w:rsidR="00F841EC" w:rsidRPr="0081194C" w14:paraId="602CAEB8" w14:textId="77777777" w:rsidTr="00BE6762">
        <w:tc>
          <w:tcPr>
            <w:tcW w:w="3963" w:type="dxa"/>
          </w:tcPr>
          <w:p w14:paraId="602CAEB4" w14:textId="77777777" w:rsidR="00F841EC" w:rsidRPr="0081194C" w:rsidRDefault="00F841EC" w:rsidP="00F841EC">
            <w:pPr>
              <w:spacing w:line="259" w:lineRule="auto"/>
            </w:pPr>
            <w:r w:rsidRPr="0081194C">
              <w:t>Norwegian Refugee Council</w:t>
            </w:r>
          </w:p>
          <w:p w14:paraId="602CAEB5" w14:textId="77777777" w:rsidR="00F841EC" w:rsidRPr="0081194C" w:rsidRDefault="007D172E" w:rsidP="00F841EC">
            <w:pPr>
              <w:spacing w:line="259" w:lineRule="auto"/>
            </w:pPr>
            <w:r w:rsidRPr="0081194C">
              <w:t>Postboks</w:t>
            </w:r>
            <w:r w:rsidR="00F841EC" w:rsidRPr="0081194C">
              <w:t xml:space="preserve"> 148 Sentrum</w:t>
            </w:r>
          </w:p>
          <w:p w14:paraId="602CAEB6" w14:textId="77777777" w:rsidR="00F841EC" w:rsidRPr="0081194C" w:rsidRDefault="007D172E" w:rsidP="00F841EC">
            <w:pPr>
              <w:spacing w:line="259" w:lineRule="auto"/>
            </w:pPr>
            <w:r w:rsidRPr="0081194C">
              <w:t>0102 O</w:t>
            </w:r>
            <w:r w:rsidR="00F841EC" w:rsidRPr="0081194C">
              <w:t>slo, Norway</w:t>
            </w:r>
          </w:p>
        </w:tc>
        <w:tc>
          <w:tcPr>
            <w:tcW w:w="3963" w:type="dxa"/>
          </w:tcPr>
          <w:p w14:paraId="602CAEB7" w14:textId="77777777" w:rsidR="00F841EC" w:rsidRPr="0081194C" w:rsidRDefault="00F841EC" w:rsidP="00F841EC"/>
        </w:tc>
      </w:tr>
    </w:tbl>
    <w:p w14:paraId="602CAEB9" w14:textId="77777777" w:rsidR="00912719" w:rsidRPr="0081194C" w:rsidRDefault="00912719" w:rsidP="006C2575">
      <w:pPr>
        <w:rPr>
          <w:rFonts w:ascii="Franklin Gothic Medium" w:eastAsiaTheme="majorEastAsia" w:hAnsi="Franklin Gothic Medium" w:cstheme="majorBidi"/>
          <w:iCs/>
          <w:caps/>
        </w:rPr>
      </w:pPr>
    </w:p>
    <w:sectPr w:rsidR="00912719" w:rsidRPr="0081194C" w:rsidSect="00412F70">
      <w:headerReference w:type="default" r:id="rId15"/>
      <w:footerReference w:type="default" r:id="rId16"/>
      <w:pgSz w:w="11906" w:h="16838" w:code="9"/>
      <w:pgMar w:top="1985" w:right="1985" w:bottom="158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4099" w14:textId="77777777" w:rsidR="00E13650" w:rsidRDefault="00E13650" w:rsidP="0062174F">
      <w:pPr>
        <w:spacing w:after="0" w:line="240" w:lineRule="auto"/>
      </w:pPr>
      <w:r>
        <w:separator/>
      </w:r>
    </w:p>
  </w:endnote>
  <w:endnote w:type="continuationSeparator" w:id="0">
    <w:p w14:paraId="1EA034E3" w14:textId="77777777" w:rsidR="00E13650" w:rsidRDefault="00E13650" w:rsidP="0062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EC3" w14:textId="01048050" w:rsidR="00BB53C9" w:rsidRPr="005A3450" w:rsidRDefault="00BB53C9" w:rsidP="003F575E">
    <w:pPr>
      <w:pStyle w:val="Footer"/>
      <w:rPr>
        <w:lang w:val="nb-NO"/>
      </w:rPr>
    </w:pPr>
    <w:r>
      <w:rPr>
        <w:lang w:val="nb-NO"/>
      </w:rPr>
      <w:t xml:space="preserve">E2R ELE ToR | </w:t>
    </w:r>
    <w:sdt>
      <w:sdtPr>
        <w:rPr>
          <w:lang w:val="nb-NO"/>
        </w:rPr>
        <w:alias w:val="Date"/>
        <w:tag w:val="Date"/>
        <w:id w:val="277302173"/>
        <w:placeholder>
          <w:docPart w:val="957D97281F8C45DC87EA409313CB83D1"/>
        </w:placeholder>
        <w:date w:fullDate="2025-07-21T00:00:00Z">
          <w:dateFormat w:val="MMMM yyyy"/>
          <w:lid w:val="nb-NO"/>
          <w:storeMappedDataAs w:val="dateTime"/>
          <w:calendar w:val="gregorian"/>
        </w:date>
      </w:sdtPr>
      <w:sdtContent>
        <w:r w:rsidR="00CF5433">
          <w:rPr>
            <w:lang w:val="nb-NO"/>
          </w:rPr>
          <w:t>juli 2025</w:t>
        </w:r>
      </w:sdtContent>
    </w:sdt>
    <w:r>
      <w:rPr>
        <w:lang w:val="nb-NO"/>
      </w:rPr>
      <w:t xml:space="preserve"> | page </w:t>
    </w:r>
    <w:r>
      <w:rPr>
        <w:lang w:val="nb-NO"/>
      </w:rPr>
      <w:fldChar w:fldCharType="begin"/>
    </w:r>
    <w:r>
      <w:rPr>
        <w:lang w:val="nb-NO"/>
      </w:rPr>
      <w:instrText xml:space="preserve"> PAGE  \* Arabic  \* MERGEFORMAT </w:instrText>
    </w:r>
    <w:r>
      <w:rPr>
        <w:lang w:val="nb-NO"/>
      </w:rPr>
      <w:fldChar w:fldCharType="separate"/>
    </w:r>
    <w:r w:rsidR="005527BC">
      <w:rPr>
        <w:noProof/>
        <w:lang w:val="nb-NO"/>
      </w:rPr>
      <w:t>11</w:t>
    </w:r>
    <w:r>
      <w:rPr>
        <w:lang w:val="nb-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EC5" w14:textId="77777777" w:rsidR="00BB53C9" w:rsidRPr="005A3450" w:rsidRDefault="00BB53C9" w:rsidP="009F049D">
    <w:pPr>
      <w:pStyle w:val="Footer"/>
      <w:jc w:val="lef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DD229" w14:textId="77777777" w:rsidR="00E13650" w:rsidRPr="00FC707B" w:rsidRDefault="00E13650" w:rsidP="00FC707B">
      <w:pPr>
        <w:tabs>
          <w:tab w:val="left" w:leader="dot" w:pos="8505"/>
        </w:tabs>
        <w:spacing w:before="160" w:after="80" w:line="240" w:lineRule="auto"/>
        <w:rPr>
          <w:u w:val="single"/>
        </w:rPr>
      </w:pPr>
      <w:r w:rsidRPr="00FC707B">
        <w:tab/>
      </w:r>
    </w:p>
  </w:footnote>
  <w:footnote w:type="continuationSeparator" w:id="0">
    <w:p w14:paraId="29A7813E" w14:textId="77777777" w:rsidR="00E13650" w:rsidRDefault="00E13650" w:rsidP="0062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6186" w14:textId="270B6420" w:rsidR="00BB53C9" w:rsidRDefault="00BB53C9">
    <w:pPr>
      <w:pStyle w:val="Header"/>
    </w:pPr>
    <w:r>
      <w:rPr>
        <w:noProof/>
        <w:lang w:val="en-US"/>
      </w:rPr>
      <w:drawing>
        <wp:anchor distT="0" distB="0" distL="114300" distR="114300" simplePos="0" relativeHeight="251658241" behindDoc="0" locked="0" layoutInCell="1" allowOverlap="1" wp14:anchorId="7B0CE036" wp14:editId="390489BA">
          <wp:simplePos x="0" y="0"/>
          <wp:positionH relativeFrom="margin">
            <wp:posOffset>-103367</wp:posOffset>
          </wp:positionH>
          <wp:positionV relativeFrom="margin">
            <wp:posOffset>-837538</wp:posOffset>
          </wp:positionV>
          <wp:extent cx="2498090" cy="626110"/>
          <wp:effectExtent l="0" t="0" r="0" b="2540"/>
          <wp:wrapSquare wrapText="bothSides"/>
          <wp:docPr id="5" name="Bild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EC4" w14:textId="77777777" w:rsidR="00BB53C9" w:rsidRPr="00F841EC" w:rsidRDefault="00BB53C9">
    <w:pPr>
      <w:pStyle w:val="Header"/>
      <w:rPr>
        <w:lang w:val="nb-NO"/>
      </w:rPr>
    </w:pPr>
    <w:r>
      <w:rPr>
        <w:noProof/>
        <w:lang w:val="en-US"/>
      </w:rPr>
      <w:drawing>
        <wp:anchor distT="0" distB="0" distL="114300" distR="114300" simplePos="0" relativeHeight="251658240" behindDoc="1" locked="0" layoutInCell="1" allowOverlap="1" wp14:anchorId="602CAEC6" wp14:editId="602CAEC7">
          <wp:simplePos x="0" y="0"/>
          <wp:positionH relativeFrom="margin">
            <wp:align>center</wp:align>
          </wp:positionH>
          <wp:positionV relativeFrom="margin">
            <wp:posOffset>3128261</wp:posOffset>
          </wp:positionV>
          <wp:extent cx="1444633" cy="1261768"/>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side_logo150dpi_cropped.png"/>
                  <pic:cNvPicPr/>
                </pic:nvPicPr>
                <pic:blipFill>
                  <a:blip r:embed="rId1">
                    <a:extLst>
                      <a:ext uri="{28A0092B-C50C-407E-A947-70E740481C1C}">
                        <a14:useLocalDpi xmlns:a14="http://schemas.microsoft.com/office/drawing/2010/main" val="0"/>
                      </a:ext>
                    </a:extLst>
                  </a:blip>
                  <a:stretch>
                    <a:fillRect/>
                  </a:stretch>
                </pic:blipFill>
                <pic:spPr>
                  <a:xfrm>
                    <a:off x="0" y="0"/>
                    <a:ext cx="1444633" cy="126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A63"/>
    <w:multiLevelType w:val="hybridMultilevel"/>
    <w:tmpl w:val="74B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84A12"/>
    <w:multiLevelType w:val="hybridMultilevel"/>
    <w:tmpl w:val="E5DE0D02"/>
    <w:lvl w:ilvl="0" w:tplc="FF2E3BCE">
      <w:numFmt w:val="bullet"/>
      <w:lvlText w:val="-"/>
      <w:lvlJc w:val="left"/>
      <w:pPr>
        <w:ind w:left="1433" w:hanging="360"/>
      </w:pPr>
      <w:rPr>
        <w:rFonts w:ascii="Arial" w:eastAsia="Times New Roman" w:hAnsi="Arial" w:cs="Arial" w:hint="default"/>
      </w:rPr>
    </w:lvl>
    <w:lvl w:ilvl="1" w:tplc="04090003">
      <w:start w:val="1"/>
      <w:numFmt w:val="bullet"/>
      <w:lvlText w:val="o"/>
      <w:lvlJc w:val="left"/>
      <w:pPr>
        <w:ind w:left="2153" w:hanging="360"/>
      </w:pPr>
      <w:rPr>
        <w:rFonts w:ascii="Courier New" w:hAnsi="Courier New" w:cs="Courier New" w:hint="default"/>
      </w:rPr>
    </w:lvl>
    <w:lvl w:ilvl="2" w:tplc="04090005">
      <w:start w:val="1"/>
      <w:numFmt w:val="bullet"/>
      <w:lvlText w:val=""/>
      <w:lvlJc w:val="left"/>
      <w:pPr>
        <w:ind w:left="2873" w:hanging="360"/>
      </w:pPr>
      <w:rPr>
        <w:rFonts w:ascii="Wingdings" w:hAnsi="Wingdings" w:hint="default"/>
      </w:rPr>
    </w:lvl>
    <w:lvl w:ilvl="3" w:tplc="04090001">
      <w:start w:val="1"/>
      <w:numFmt w:val="bullet"/>
      <w:lvlText w:val=""/>
      <w:lvlJc w:val="left"/>
      <w:pPr>
        <w:ind w:left="3593" w:hanging="360"/>
      </w:pPr>
      <w:rPr>
        <w:rFonts w:ascii="Symbol" w:hAnsi="Symbol" w:hint="default"/>
      </w:rPr>
    </w:lvl>
    <w:lvl w:ilvl="4" w:tplc="04090003">
      <w:start w:val="1"/>
      <w:numFmt w:val="bullet"/>
      <w:lvlText w:val="o"/>
      <w:lvlJc w:val="left"/>
      <w:pPr>
        <w:ind w:left="4313" w:hanging="360"/>
      </w:pPr>
      <w:rPr>
        <w:rFonts w:ascii="Courier New" w:hAnsi="Courier New" w:cs="Courier New" w:hint="default"/>
      </w:rPr>
    </w:lvl>
    <w:lvl w:ilvl="5" w:tplc="04090005">
      <w:start w:val="1"/>
      <w:numFmt w:val="bullet"/>
      <w:lvlText w:val=""/>
      <w:lvlJc w:val="left"/>
      <w:pPr>
        <w:ind w:left="5033" w:hanging="360"/>
      </w:pPr>
      <w:rPr>
        <w:rFonts w:ascii="Wingdings" w:hAnsi="Wingdings" w:hint="default"/>
      </w:rPr>
    </w:lvl>
    <w:lvl w:ilvl="6" w:tplc="04090001">
      <w:start w:val="1"/>
      <w:numFmt w:val="bullet"/>
      <w:lvlText w:val=""/>
      <w:lvlJc w:val="left"/>
      <w:pPr>
        <w:ind w:left="5753" w:hanging="360"/>
      </w:pPr>
      <w:rPr>
        <w:rFonts w:ascii="Symbol" w:hAnsi="Symbol" w:hint="default"/>
      </w:rPr>
    </w:lvl>
    <w:lvl w:ilvl="7" w:tplc="04090003">
      <w:start w:val="1"/>
      <w:numFmt w:val="bullet"/>
      <w:lvlText w:val="o"/>
      <w:lvlJc w:val="left"/>
      <w:pPr>
        <w:ind w:left="6473" w:hanging="360"/>
      </w:pPr>
      <w:rPr>
        <w:rFonts w:ascii="Courier New" w:hAnsi="Courier New" w:cs="Courier New" w:hint="default"/>
      </w:rPr>
    </w:lvl>
    <w:lvl w:ilvl="8" w:tplc="04090005">
      <w:start w:val="1"/>
      <w:numFmt w:val="bullet"/>
      <w:lvlText w:val=""/>
      <w:lvlJc w:val="left"/>
      <w:pPr>
        <w:ind w:left="7193" w:hanging="360"/>
      </w:pPr>
      <w:rPr>
        <w:rFonts w:ascii="Wingdings" w:hAnsi="Wingdings" w:hint="default"/>
      </w:rPr>
    </w:lvl>
  </w:abstractNum>
  <w:abstractNum w:abstractNumId="2" w15:restartNumberingAfterBreak="0">
    <w:nsid w:val="258644BA"/>
    <w:multiLevelType w:val="hybridMultilevel"/>
    <w:tmpl w:val="887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A07F7"/>
    <w:multiLevelType w:val="hybridMultilevel"/>
    <w:tmpl w:val="993E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20A1F"/>
    <w:multiLevelType w:val="hybridMultilevel"/>
    <w:tmpl w:val="CF0C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80B4F"/>
    <w:multiLevelType w:val="hybridMultilevel"/>
    <w:tmpl w:val="2DCC7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DF440D"/>
    <w:multiLevelType w:val="multilevel"/>
    <w:tmpl w:val="64FA2216"/>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b/>
        <w:bCs/>
        <w:color w:val="auto"/>
        <w:sz w:val="28"/>
        <w:szCs w:val="28"/>
      </w:rPr>
    </w:lvl>
    <w:lvl w:ilvl="2">
      <w:start w:val="1"/>
      <w:numFmt w:val="decimal"/>
      <w:pStyle w:val="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7" w15:restartNumberingAfterBreak="0">
    <w:nsid w:val="3FCA6470"/>
    <w:multiLevelType w:val="hybridMultilevel"/>
    <w:tmpl w:val="E036F22C"/>
    <w:lvl w:ilvl="0" w:tplc="0F988A0C">
      <w:start w:val="1"/>
      <w:numFmt w:val="decimal"/>
      <w:pStyle w:val="AppendixTitleNRC"/>
      <w:lvlText w:val="Appendix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1976E7C"/>
    <w:multiLevelType w:val="hybridMultilevel"/>
    <w:tmpl w:val="90BCF930"/>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63823F8"/>
    <w:multiLevelType w:val="hybridMultilevel"/>
    <w:tmpl w:val="EAD6D60A"/>
    <w:lvl w:ilvl="0" w:tplc="AF804A4E">
      <w:start w:val="1"/>
      <w:numFmt w:val="decimal"/>
      <w:pStyle w:val="ListParagraph"/>
      <w:lvlText w:val="%1."/>
      <w:lvlJc w:val="left"/>
      <w:pPr>
        <w:ind w:left="36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0" w15:restartNumberingAfterBreak="0">
    <w:nsid w:val="486E76AB"/>
    <w:multiLevelType w:val="hybridMultilevel"/>
    <w:tmpl w:val="99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13976"/>
    <w:multiLevelType w:val="hybridMultilevel"/>
    <w:tmpl w:val="513E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722DA"/>
    <w:multiLevelType w:val="hybridMultilevel"/>
    <w:tmpl w:val="7B96A704"/>
    <w:lvl w:ilvl="0" w:tplc="B072B65C">
      <w:start w:val="1"/>
      <w:numFmt w:val="bullet"/>
      <w:lvlText w:val=""/>
      <w:lvlJc w:val="left"/>
      <w:pPr>
        <w:ind w:left="1080" w:hanging="360"/>
      </w:pPr>
      <w:rPr>
        <w:rFonts w:ascii="Symbol" w:hAnsi="Symbol"/>
      </w:rPr>
    </w:lvl>
    <w:lvl w:ilvl="1" w:tplc="5B900C92">
      <w:start w:val="1"/>
      <w:numFmt w:val="bullet"/>
      <w:lvlText w:val=""/>
      <w:lvlJc w:val="left"/>
      <w:pPr>
        <w:ind w:left="1080" w:hanging="360"/>
      </w:pPr>
      <w:rPr>
        <w:rFonts w:ascii="Symbol" w:hAnsi="Symbol"/>
      </w:rPr>
    </w:lvl>
    <w:lvl w:ilvl="2" w:tplc="BCA6A6D2">
      <w:start w:val="1"/>
      <w:numFmt w:val="bullet"/>
      <w:lvlText w:val=""/>
      <w:lvlJc w:val="left"/>
      <w:pPr>
        <w:ind w:left="1080" w:hanging="360"/>
      </w:pPr>
      <w:rPr>
        <w:rFonts w:ascii="Symbol" w:hAnsi="Symbol"/>
      </w:rPr>
    </w:lvl>
    <w:lvl w:ilvl="3" w:tplc="73FAB78E">
      <w:start w:val="1"/>
      <w:numFmt w:val="bullet"/>
      <w:lvlText w:val=""/>
      <w:lvlJc w:val="left"/>
      <w:pPr>
        <w:ind w:left="1080" w:hanging="360"/>
      </w:pPr>
      <w:rPr>
        <w:rFonts w:ascii="Symbol" w:hAnsi="Symbol"/>
      </w:rPr>
    </w:lvl>
    <w:lvl w:ilvl="4" w:tplc="648EF7A4">
      <w:start w:val="1"/>
      <w:numFmt w:val="bullet"/>
      <w:lvlText w:val=""/>
      <w:lvlJc w:val="left"/>
      <w:pPr>
        <w:ind w:left="1080" w:hanging="360"/>
      </w:pPr>
      <w:rPr>
        <w:rFonts w:ascii="Symbol" w:hAnsi="Symbol"/>
      </w:rPr>
    </w:lvl>
    <w:lvl w:ilvl="5" w:tplc="100CFFE8">
      <w:start w:val="1"/>
      <w:numFmt w:val="bullet"/>
      <w:lvlText w:val=""/>
      <w:lvlJc w:val="left"/>
      <w:pPr>
        <w:ind w:left="1080" w:hanging="360"/>
      </w:pPr>
      <w:rPr>
        <w:rFonts w:ascii="Symbol" w:hAnsi="Symbol"/>
      </w:rPr>
    </w:lvl>
    <w:lvl w:ilvl="6" w:tplc="F8547A60">
      <w:start w:val="1"/>
      <w:numFmt w:val="bullet"/>
      <w:lvlText w:val=""/>
      <w:lvlJc w:val="left"/>
      <w:pPr>
        <w:ind w:left="1080" w:hanging="360"/>
      </w:pPr>
      <w:rPr>
        <w:rFonts w:ascii="Symbol" w:hAnsi="Symbol"/>
      </w:rPr>
    </w:lvl>
    <w:lvl w:ilvl="7" w:tplc="3C24C1EE">
      <w:start w:val="1"/>
      <w:numFmt w:val="bullet"/>
      <w:lvlText w:val=""/>
      <w:lvlJc w:val="left"/>
      <w:pPr>
        <w:ind w:left="1080" w:hanging="360"/>
      </w:pPr>
      <w:rPr>
        <w:rFonts w:ascii="Symbol" w:hAnsi="Symbol"/>
      </w:rPr>
    </w:lvl>
    <w:lvl w:ilvl="8" w:tplc="8070AF48">
      <w:start w:val="1"/>
      <w:numFmt w:val="bullet"/>
      <w:lvlText w:val=""/>
      <w:lvlJc w:val="left"/>
      <w:pPr>
        <w:ind w:left="1080" w:hanging="360"/>
      </w:pPr>
      <w:rPr>
        <w:rFonts w:ascii="Symbol" w:hAnsi="Symbol"/>
      </w:rPr>
    </w:lvl>
  </w:abstractNum>
  <w:abstractNum w:abstractNumId="13" w15:restartNumberingAfterBreak="0">
    <w:nsid w:val="523B5709"/>
    <w:multiLevelType w:val="hybridMultilevel"/>
    <w:tmpl w:val="5426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44E7C"/>
    <w:multiLevelType w:val="hybridMultilevel"/>
    <w:tmpl w:val="83A86144"/>
    <w:lvl w:ilvl="0" w:tplc="08090001">
      <w:start w:val="1"/>
      <w:numFmt w:val="bullet"/>
      <w:lvlText w:val=""/>
      <w:lvlJc w:val="left"/>
      <w:pPr>
        <w:ind w:left="2153" w:hanging="360"/>
      </w:pPr>
      <w:rPr>
        <w:rFonts w:ascii="Symbol" w:hAnsi="Symbol" w:hint="default"/>
      </w:rPr>
    </w:lvl>
    <w:lvl w:ilvl="1" w:tplc="08090003" w:tentative="1">
      <w:start w:val="1"/>
      <w:numFmt w:val="bullet"/>
      <w:lvlText w:val="o"/>
      <w:lvlJc w:val="left"/>
      <w:pPr>
        <w:ind w:left="2873" w:hanging="360"/>
      </w:pPr>
      <w:rPr>
        <w:rFonts w:ascii="Courier New" w:hAnsi="Courier New" w:cs="Courier New" w:hint="default"/>
      </w:rPr>
    </w:lvl>
    <w:lvl w:ilvl="2" w:tplc="08090005" w:tentative="1">
      <w:start w:val="1"/>
      <w:numFmt w:val="bullet"/>
      <w:lvlText w:val=""/>
      <w:lvlJc w:val="left"/>
      <w:pPr>
        <w:ind w:left="3593" w:hanging="360"/>
      </w:pPr>
      <w:rPr>
        <w:rFonts w:ascii="Wingdings" w:hAnsi="Wingdings" w:hint="default"/>
      </w:rPr>
    </w:lvl>
    <w:lvl w:ilvl="3" w:tplc="08090001" w:tentative="1">
      <w:start w:val="1"/>
      <w:numFmt w:val="bullet"/>
      <w:lvlText w:val=""/>
      <w:lvlJc w:val="left"/>
      <w:pPr>
        <w:ind w:left="4313" w:hanging="360"/>
      </w:pPr>
      <w:rPr>
        <w:rFonts w:ascii="Symbol" w:hAnsi="Symbol" w:hint="default"/>
      </w:rPr>
    </w:lvl>
    <w:lvl w:ilvl="4" w:tplc="08090003" w:tentative="1">
      <w:start w:val="1"/>
      <w:numFmt w:val="bullet"/>
      <w:lvlText w:val="o"/>
      <w:lvlJc w:val="left"/>
      <w:pPr>
        <w:ind w:left="5033" w:hanging="360"/>
      </w:pPr>
      <w:rPr>
        <w:rFonts w:ascii="Courier New" w:hAnsi="Courier New" w:cs="Courier New" w:hint="default"/>
      </w:rPr>
    </w:lvl>
    <w:lvl w:ilvl="5" w:tplc="08090005" w:tentative="1">
      <w:start w:val="1"/>
      <w:numFmt w:val="bullet"/>
      <w:lvlText w:val=""/>
      <w:lvlJc w:val="left"/>
      <w:pPr>
        <w:ind w:left="5753" w:hanging="360"/>
      </w:pPr>
      <w:rPr>
        <w:rFonts w:ascii="Wingdings" w:hAnsi="Wingdings" w:hint="default"/>
      </w:rPr>
    </w:lvl>
    <w:lvl w:ilvl="6" w:tplc="08090001" w:tentative="1">
      <w:start w:val="1"/>
      <w:numFmt w:val="bullet"/>
      <w:lvlText w:val=""/>
      <w:lvlJc w:val="left"/>
      <w:pPr>
        <w:ind w:left="6473" w:hanging="360"/>
      </w:pPr>
      <w:rPr>
        <w:rFonts w:ascii="Symbol" w:hAnsi="Symbol" w:hint="default"/>
      </w:rPr>
    </w:lvl>
    <w:lvl w:ilvl="7" w:tplc="08090003" w:tentative="1">
      <w:start w:val="1"/>
      <w:numFmt w:val="bullet"/>
      <w:lvlText w:val="o"/>
      <w:lvlJc w:val="left"/>
      <w:pPr>
        <w:ind w:left="7193" w:hanging="360"/>
      </w:pPr>
      <w:rPr>
        <w:rFonts w:ascii="Courier New" w:hAnsi="Courier New" w:cs="Courier New" w:hint="default"/>
      </w:rPr>
    </w:lvl>
    <w:lvl w:ilvl="8" w:tplc="08090005" w:tentative="1">
      <w:start w:val="1"/>
      <w:numFmt w:val="bullet"/>
      <w:lvlText w:val=""/>
      <w:lvlJc w:val="left"/>
      <w:pPr>
        <w:ind w:left="7913" w:hanging="360"/>
      </w:pPr>
      <w:rPr>
        <w:rFonts w:ascii="Wingdings" w:hAnsi="Wingdings" w:hint="default"/>
      </w:rPr>
    </w:lvl>
  </w:abstractNum>
  <w:abstractNum w:abstractNumId="15" w15:restartNumberingAfterBreak="0">
    <w:nsid w:val="63A20C68"/>
    <w:multiLevelType w:val="hybridMultilevel"/>
    <w:tmpl w:val="6A584BC6"/>
    <w:lvl w:ilvl="0" w:tplc="FF2E3BCE">
      <w:numFmt w:val="bullet"/>
      <w:lvlText w:val="-"/>
      <w:lvlJc w:val="left"/>
      <w:pPr>
        <w:ind w:left="1433" w:hanging="360"/>
      </w:pPr>
      <w:rPr>
        <w:rFonts w:ascii="Arial" w:eastAsia="Times New Roman" w:hAnsi="Arial" w:cs="Arial" w:hint="default"/>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num w:numId="1" w16cid:durableId="130440050">
    <w:abstractNumId w:val="6"/>
  </w:num>
  <w:num w:numId="2" w16cid:durableId="1637762095">
    <w:abstractNumId w:val="8"/>
  </w:num>
  <w:num w:numId="3" w16cid:durableId="111172151">
    <w:abstractNumId w:val="9"/>
  </w:num>
  <w:num w:numId="4" w16cid:durableId="1107576350">
    <w:abstractNumId w:val="7"/>
  </w:num>
  <w:num w:numId="5" w16cid:durableId="802964729">
    <w:abstractNumId w:val="1"/>
  </w:num>
  <w:num w:numId="6" w16cid:durableId="927931989">
    <w:abstractNumId w:val="5"/>
  </w:num>
  <w:num w:numId="7" w16cid:durableId="1984431964">
    <w:abstractNumId w:val="0"/>
  </w:num>
  <w:num w:numId="8" w16cid:durableId="1663309920">
    <w:abstractNumId w:val="13"/>
  </w:num>
  <w:num w:numId="9" w16cid:durableId="936328813">
    <w:abstractNumId w:val="11"/>
  </w:num>
  <w:num w:numId="10" w16cid:durableId="1308700387">
    <w:abstractNumId w:val="10"/>
  </w:num>
  <w:num w:numId="11" w16cid:durableId="2047102103">
    <w:abstractNumId w:val="3"/>
  </w:num>
  <w:num w:numId="12" w16cid:durableId="1172183558">
    <w:abstractNumId w:val="2"/>
  </w:num>
  <w:num w:numId="13" w16cid:durableId="1813406632">
    <w:abstractNumId w:val="12"/>
  </w:num>
  <w:num w:numId="14" w16cid:durableId="401030465">
    <w:abstractNumId w:val="4"/>
  </w:num>
  <w:num w:numId="15" w16cid:durableId="2078628535">
    <w:abstractNumId w:val="14"/>
  </w:num>
  <w:num w:numId="16" w16cid:durableId="168338848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51"/>
    <w:rsid w:val="000120D9"/>
    <w:rsid w:val="00013AD8"/>
    <w:rsid w:val="000245CD"/>
    <w:rsid w:val="00032869"/>
    <w:rsid w:val="00033A75"/>
    <w:rsid w:val="00035005"/>
    <w:rsid w:val="000355C8"/>
    <w:rsid w:val="0004126C"/>
    <w:rsid w:val="00041AEE"/>
    <w:rsid w:val="00055291"/>
    <w:rsid w:val="00060507"/>
    <w:rsid w:val="00066AB8"/>
    <w:rsid w:val="00071DFD"/>
    <w:rsid w:val="000751FA"/>
    <w:rsid w:val="00077A10"/>
    <w:rsid w:val="00085879"/>
    <w:rsid w:val="00090EB5"/>
    <w:rsid w:val="00091EBF"/>
    <w:rsid w:val="00095702"/>
    <w:rsid w:val="00097C10"/>
    <w:rsid w:val="000A17A4"/>
    <w:rsid w:val="000A44BF"/>
    <w:rsid w:val="000B39D9"/>
    <w:rsid w:val="000C1823"/>
    <w:rsid w:val="000C21B0"/>
    <w:rsid w:val="000C4688"/>
    <w:rsid w:val="000C5E8C"/>
    <w:rsid w:val="000C64AA"/>
    <w:rsid w:val="000E07FD"/>
    <w:rsid w:val="000E0980"/>
    <w:rsid w:val="000E1BD4"/>
    <w:rsid w:val="000F0098"/>
    <w:rsid w:val="000F34AB"/>
    <w:rsid w:val="000F39F8"/>
    <w:rsid w:val="000F4D77"/>
    <w:rsid w:val="000F65F8"/>
    <w:rsid w:val="00103269"/>
    <w:rsid w:val="001138CC"/>
    <w:rsid w:val="001323AD"/>
    <w:rsid w:val="001359BE"/>
    <w:rsid w:val="00136F3C"/>
    <w:rsid w:val="00140340"/>
    <w:rsid w:val="00143091"/>
    <w:rsid w:val="00144D27"/>
    <w:rsid w:val="00161673"/>
    <w:rsid w:val="00163573"/>
    <w:rsid w:val="00183B4D"/>
    <w:rsid w:val="001845F8"/>
    <w:rsid w:val="0019128E"/>
    <w:rsid w:val="001917C9"/>
    <w:rsid w:val="001949DA"/>
    <w:rsid w:val="00197100"/>
    <w:rsid w:val="001B6690"/>
    <w:rsid w:val="001C1AE0"/>
    <w:rsid w:val="001E004C"/>
    <w:rsid w:val="001E207C"/>
    <w:rsid w:val="001E2B34"/>
    <w:rsid w:val="001F218C"/>
    <w:rsid w:val="001F7B9D"/>
    <w:rsid w:val="00203AE8"/>
    <w:rsid w:val="00211EC8"/>
    <w:rsid w:val="0021328C"/>
    <w:rsid w:val="00213E05"/>
    <w:rsid w:val="00214274"/>
    <w:rsid w:val="00215620"/>
    <w:rsid w:val="002158DE"/>
    <w:rsid w:val="0023045C"/>
    <w:rsid w:val="00233A32"/>
    <w:rsid w:val="00247AAD"/>
    <w:rsid w:val="002716FF"/>
    <w:rsid w:val="00271BF7"/>
    <w:rsid w:val="00276318"/>
    <w:rsid w:val="00282ACB"/>
    <w:rsid w:val="002B2EEA"/>
    <w:rsid w:val="002C0F42"/>
    <w:rsid w:val="002D06D0"/>
    <w:rsid w:val="002F40A7"/>
    <w:rsid w:val="003014E7"/>
    <w:rsid w:val="00306C8D"/>
    <w:rsid w:val="00307DA0"/>
    <w:rsid w:val="00312F3E"/>
    <w:rsid w:val="00314747"/>
    <w:rsid w:val="003162AD"/>
    <w:rsid w:val="00324A58"/>
    <w:rsid w:val="0033018B"/>
    <w:rsid w:val="00340347"/>
    <w:rsid w:val="00346C35"/>
    <w:rsid w:val="00351BA9"/>
    <w:rsid w:val="00351EBD"/>
    <w:rsid w:val="00352208"/>
    <w:rsid w:val="00355BD8"/>
    <w:rsid w:val="003637EE"/>
    <w:rsid w:val="003666E5"/>
    <w:rsid w:val="0037320C"/>
    <w:rsid w:val="0038288C"/>
    <w:rsid w:val="0039048B"/>
    <w:rsid w:val="00390848"/>
    <w:rsid w:val="003A2EAE"/>
    <w:rsid w:val="003A678D"/>
    <w:rsid w:val="003C1BDF"/>
    <w:rsid w:val="003D0624"/>
    <w:rsid w:val="003E3774"/>
    <w:rsid w:val="003F34FF"/>
    <w:rsid w:val="003F575E"/>
    <w:rsid w:val="0040071B"/>
    <w:rsid w:val="00412F70"/>
    <w:rsid w:val="0041784E"/>
    <w:rsid w:val="0042217F"/>
    <w:rsid w:val="0042463A"/>
    <w:rsid w:val="00425781"/>
    <w:rsid w:val="00426763"/>
    <w:rsid w:val="00430947"/>
    <w:rsid w:val="00431536"/>
    <w:rsid w:val="004477BF"/>
    <w:rsid w:val="00454F70"/>
    <w:rsid w:val="0045567E"/>
    <w:rsid w:val="00461BC5"/>
    <w:rsid w:val="00461E87"/>
    <w:rsid w:val="00473482"/>
    <w:rsid w:val="004829B9"/>
    <w:rsid w:val="004A7E1D"/>
    <w:rsid w:val="004B13AF"/>
    <w:rsid w:val="004B30E2"/>
    <w:rsid w:val="004B3EBB"/>
    <w:rsid w:val="004B5714"/>
    <w:rsid w:val="004B696C"/>
    <w:rsid w:val="004C1E01"/>
    <w:rsid w:val="004C3061"/>
    <w:rsid w:val="004C46CB"/>
    <w:rsid w:val="004D242B"/>
    <w:rsid w:val="004D3706"/>
    <w:rsid w:val="004D4FAF"/>
    <w:rsid w:val="004E3D5E"/>
    <w:rsid w:val="004E6523"/>
    <w:rsid w:val="004F2ABF"/>
    <w:rsid w:val="004F5734"/>
    <w:rsid w:val="004F5788"/>
    <w:rsid w:val="00502E29"/>
    <w:rsid w:val="00503591"/>
    <w:rsid w:val="005113E1"/>
    <w:rsid w:val="00514A27"/>
    <w:rsid w:val="00517A0D"/>
    <w:rsid w:val="00527BB0"/>
    <w:rsid w:val="005377F1"/>
    <w:rsid w:val="00545654"/>
    <w:rsid w:val="005460E0"/>
    <w:rsid w:val="0054655C"/>
    <w:rsid w:val="005527BC"/>
    <w:rsid w:val="005635F0"/>
    <w:rsid w:val="00563F52"/>
    <w:rsid w:val="005667F7"/>
    <w:rsid w:val="00585622"/>
    <w:rsid w:val="00592EA5"/>
    <w:rsid w:val="00597504"/>
    <w:rsid w:val="005A3450"/>
    <w:rsid w:val="005C11C8"/>
    <w:rsid w:val="005D0144"/>
    <w:rsid w:val="005D72FB"/>
    <w:rsid w:val="005E47C0"/>
    <w:rsid w:val="005E49F9"/>
    <w:rsid w:val="00604189"/>
    <w:rsid w:val="0060431C"/>
    <w:rsid w:val="00616C9C"/>
    <w:rsid w:val="0062174F"/>
    <w:rsid w:val="00622AF0"/>
    <w:rsid w:val="0062360C"/>
    <w:rsid w:val="00623F46"/>
    <w:rsid w:val="00624839"/>
    <w:rsid w:val="00627F33"/>
    <w:rsid w:val="0064322E"/>
    <w:rsid w:val="0065275D"/>
    <w:rsid w:val="00654FEE"/>
    <w:rsid w:val="00655A8E"/>
    <w:rsid w:val="00655A91"/>
    <w:rsid w:val="0067081C"/>
    <w:rsid w:val="006742F3"/>
    <w:rsid w:val="006804F1"/>
    <w:rsid w:val="006855D2"/>
    <w:rsid w:val="006912D6"/>
    <w:rsid w:val="006A05E8"/>
    <w:rsid w:val="006A7468"/>
    <w:rsid w:val="006B4FEB"/>
    <w:rsid w:val="006C2575"/>
    <w:rsid w:val="006C384A"/>
    <w:rsid w:val="006C53C0"/>
    <w:rsid w:val="006C599B"/>
    <w:rsid w:val="006D01C1"/>
    <w:rsid w:val="006E2131"/>
    <w:rsid w:val="006F29C0"/>
    <w:rsid w:val="006F58BA"/>
    <w:rsid w:val="007066AD"/>
    <w:rsid w:val="007173EC"/>
    <w:rsid w:val="0072198E"/>
    <w:rsid w:val="00732AAF"/>
    <w:rsid w:val="0073749A"/>
    <w:rsid w:val="00740A0A"/>
    <w:rsid w:val="00752417"/>
    <w:rsid w:val="00753D7A"/>
    <w:rsid w:val="00754196"/>
    <w:rsid w:val="00772C3E"/>
    <w:rsid w:val="00776D3D"/>
    <w:rsid w:val="00777AA3"/>
    <w:rsid w:val="007868CE"/>
    <w:rsid w:val="00791897"/>
    <w:rsid w:val="007954BD"/>
    <w:rsid w:val="007A2EED"/>
    <w:rsid w:val="007B7F17"/>
    <w:rsid w:val="007C20D5"/>
    <w:rsid w:val="007D172E"/>
    <w:rsid w:val="007E4747"/>
    <w:rsid w:val="007E55B4"/>
    <w:rsid w:val="007F0513"/>
    <w:rsid w:val="007F0D7F"/>
    <w:rsid w:val="007F36CC"/>
    <w:rsid w:val="00804088"/>
    <w:rsid w:val="0081009D"/>
    <w:rsid w:val="0081194C"/>
    <w:rsid w:val="0081205A"/>
    <w:rsid w:val="00816F89"/>
    <w:rsid w:val="00820678"/>
    <w:rsid w:val="008359D5"/>
    <w:rsid w:val="00842C8E"/>
    <w:rsid w:val="008558F6"/>
    <w:rsid w:val="008561F4"/>
    <w:rsid w:val="00862B04"/>
    <w:rsid w:val="00864BC7"/>
    <w:rsid w:val="008777B6"/>
    <w:rsid w:val="00896FC3"/>
    <w:rsid w:val="00897A0E"/>
    <w:rsid w:val="008B4EF1"/>
    <w:rsid w:val="008B6CE3"/>
    <w:rsid w:val="008C0963"/>
    <w:rsid w:val="008C10E9"/>
    <w:rsid w:val="008C24B7"/>
    <w:rsid w:val="008C3B60"/>
    <w:rsid w:val="008C5A4C"/>
    <w:rsid w:val="008D28A9"/>
    <w:rsid w:val="008D3CD3"/>
    <w:rsid w:val="008D7A49"/>
    <w:rsid w:val="008E23E4"/>
    <w:rsid w:val="008E2F38"/>
    <w:rsid w:val="008E31AD"/>
    <w:rsid w:val="008E347C"/>
    <w:rsid w:val="008E3FE7"/>
    <w:rsid w:val="008E61F3"/>
    <w:rsid w:val="008F03D6"/>
    <w:rsid w:val="008F374E"/>
    <w:rsid w:val="008F5815"/>
    <w:rsid w:val="008F7921"/>
    <w:rsid w:val="00903ACC"/>
    <w:rsid w:val="00903D35"/>
    <w:rsid w:val="0090485F"/>
    <w:rsid w:val="00912719"/>
    <w:rsid w:val="0091373D"/>
    <w:rsid w:val="009235B0"/>
    <w:rsid w:val="0092421D"/>
    <w:rsid w:val="009324C9"/>
    <w:rsid w:val="0093344D"/>
    <w:rsid w:val="009468CB"/>
    <w:rsid w:val="00951B56"/>
    <w:rsid w:val="009532BF"/>
    <w:rsid w:val="00954975"/>
    <w:rsid w:val="00964506"/>
    <w:rsid w:val="00964628"/>
    <w:rsid w:val="0096693C"/>
    <w:rsid w:val="00972E71"/>
    <w:rsid w:val="009754D8"/>
    <w:rsid w:val="009854AC"/>
    <w:rsid w:val="00987CBC"/>
    <w:rsid w:val="009953C8"/>
    <w:rsid w:val="009967C5"/>
    <w:rsid w:val="009A1B55"/>
    <w:rsid w:val="009B0107"/>
    <w:rsid w:val="009B46EF"/>
    <w:rsid w:val="009B6F1C"/>
    <w:rsid w:val="009E3E7C"/>
    <w:rsid w:val="009E6425"/>
    <w:rsid w:val="009F049D"/>
    <w:rsid w:val="009F1F9A"/>
    <w:rsid w:val="009F217C"/>
    <w:rsid w:val="00A01A5C"/>
    <w:rsid w:val="00A02FB5"/>
    <w:rsid w:val="00A057B6"/>
    <w:rsid w:val="00A13146"/>
    <w:rsid w:val="00A15269"/>
    <w:rsid w:val="00A214FC"/>
    <w:rsid w:val="00A22AEA"/>
    <w:rsid w:val="00A30DB6"/>
    <w:rsid w:val="00A33104"/>
    <w:rsid w:val="00A4787F"/>
    <w:rsid w:val="00A5111C"/>
    <w:rsid w:val="00A517CA"/>
    <w:rsid w:val="00A60026"/>
    <w:rsid w:val="00A6036C"/>
    <w:rsid w:val="00A65D2C"/>
    <w:rsid w:val="00A70438"/>
    <w:rsid w:val="00A76498"/>
    <w:rsid w:val="00A766BB"/>
    <w:rsid w:val="00A77725"/>
    <w:rsid w:val="00A8320F"/>
    <w:rsid w:val="00A85BE7"/>
    <w:rsid w:val="00A90369"/>
    <w:rsid w:val="00AA4502"/>
    <w:rsid w:val="00AB3ADF"/>
    <w:rsid w:val="00AB4F3E"/>
    <w:rsid w:val="00AB5CAF"/>
    <w:rsid w:val="00AC0CF2"/>
    <w:rsid w:val="00AC0E13"/>
    <w:rsid w:val="00AC21C2"/>
    <w:rsid w:val="00AC4408"/>
    <w:rsid w:val="00AC6997"/>
    <w:rsid w:val="00AD145D"/>
    <w:rsid w:val="00AD6D6C"/>
    <w:rsid w:val="00AD7E59"/>
    <w:rsid w:val="00AE74E2"/>
    <w:rsid w:val="00AF0282"/>
    <w:rsid w:val="00AF3779"/>
    <w:rsid w:val="00B01719"/>
    <w:rsid w:val="00B02AA6"/>
    <w:rsid w:val="00B03A52"/>
    <w:rsid w:val="00B072F1"/>
    <w:rsid w:val="00B14103"/>
    <w:rsid w:val="00B17EE6"/>
    <w:rsid w:val="00B2641F"/>
    <w:rsid w:val="00B327EB"/>
    <w:rsid w:val="00B44420"/>
    <w:rsid w:val="00B46AB4"/>
    <w:rsid w:val="00B47A26"/>
    <w:rsid w:val="00B55674"/>
    <w:rsid w:val="00B569CB"/>
    <w:rsid w:val="00B60744"/>
    <w:rsid w:val="00B60E7D"/>
    <w:rsid w:val="00B625A0"/>
    <w:rsid w:val="00B66755"/>
    <w:rsid w:val="00B66C36"/>
    <w:rsid w:val="00B834BE"/>
    <w:rsid w:val="00B8528C"/>
    <w:rsid w:val="00B948C9"/>
    <w:rsid w:val="00B95C5E"/>
    <w:rsid w:val="00BA00E9"/>
    <w:rsid w:val="00BA0FCC"/>
    <w:rsid w:val="00BA1C41"/>
    <w:rsid w:val="00BA79BA"/>
    <w:rsid w:val="00BB1561"/>
    <w:rsid w:val="00BB53C9"/>
    <w:rsid w:val="00BD146D"/>
    <w:rsid w:val="00BD2699"/>
    <w:rsid w:val="00BD4C55"/>
    <w:rsid w:val="00BD538D"/>
    <w:rsid w:val="00BE6762"/>
    <w:rsid w:val="00BF2DCE"/>
    <w:rsid w:val="00BF6468"/>
    <w:rsid w:val="00C11051"/>
    <w:rsid w:val="00C11E5C"/>
    <w:rsid w:val="00C13801"/>
    <w:rsid w:val="00C227B5"/>
    <w:rsid w:val="00C2689E"/>
    <w:rsid w:val="00C2711D"/>
    <w:rsid w:val="00C36FA0"/>
    <w:rsid w:val="00C37F32"/>
    <w:rsid w:val="00C42888"/>
    <w:rsid w:val="00C42FE3"/>
    <w:rsid w:val="00C4630E"/>
    <w:rsid w:val="00C46746"/>
    <w:rsid w:val="00C55030"/>
    <w:rsid w:val="00C71A7D"/>
    <w:rsid w:val="00C73444"/>
    <w:rsid w:val="00C913A6"/>
    <w:rsid w:val="00C91756"/>
    <w:rsid w:val="00C94FF2"/>
    <w:rsid w:val="00CA0494"/>
    <w:rsid w:val="00CA2108"/>
    <w:rsid w:val="00CA7AF0"/>
    <w:rsid w:val="00CB1566"/>
    <w:rsid w:val="00CB6097"/>
    <w:rsid w:val="00CE381C"/>
    <w:rsid w:val="00CF5433"/>
    <w:rsid w:val="00D0166C"/>
    <w:rsid w:val="00D01CC2"/>
    <w:rsid w:val="00D15A49"/>
    <w:rsid w:val="00D1696D"/>
    <w:rsid w:val="00D25280"/>
    <w:rsid w:val="00D30B31"/>
    <w:rsid w:val="00D31740"/>
    <w:rsid w:val="00D57940"/>
    <w:rsid w:val="00D76A0C"/>
    <w:rsid w:val="00D86AB1"/>
    <w:rsid w:val="00D87443"/>
    <w:rsid w:val="00D91948"/>
    <w:rsid w:val="00D93F1E"/>
    <w:rsid w:val="00D95415"/>
    <w:rsid w:val="00D970B9"/>
    <w:rsid w:val="00D97E0F"/>
    <w:rsid w:val="00DA1BB4"/>
    <w:rsid w:val="00DB490B"/>
    <w:rsid w:val="00DB4EBB"/>
    <w:rsid w:val="00DB599A"/>
    <w:rsid w:val="00DC01B3"/>
    <w:rsid w:val="00DC4D18"/>
    <w:rsid w:val="00DE3561"/>
    <w:rsid w:val="00DF48FA"/>
    <w:rsid w:val="00DF4EC0"/>
    <w:rsid w:val="00DF78D7"/>
    <w:rsid w:val="00E015F3"/>
    <w:rsid w:val="00E02D0C"/>
    <w:rsid w:val="00E1319D"/>
    <w:rsid w:val="00E13650"/>
    <w:rsid w:val="00E14EEF"/>
    <w:rsid w:val="00E15811"/>
    <w:rsid w:val="00E17D06"/>
    <w:rsid w:val="00E351D1"/>
    <w:rsid w:val="00E363DD"/>
    <w:rsid w:val="00E421E1"/>
    <w:rsid w:val="00E44030"/>
    <w:rsid w:val="00E642E0"/>
    <w:rsid w:val="00E701B3"/>
    <w:rsid w:val="00E732A6"/>
    <w:rsid w:val="00E7349A"/>
    <w:rsid w:val="00E7457C"/>
    <w:rsid w:val="00E75531"/>
    <w:rsid w:val="00E80B2C"/>
    <w:rsid w:val="00E91748"/>
    <w:rsid w:val="00E93582"/>
    <w:rsid w:val="00E96D7C"/>
    <w:rsid w:val="00EB7562"/>
    <w:rsid w:val="00EB7E34"/>
    <w:rsid w:val="00EC56C7"/>
    <w:rsid w:val="00EC6D93"/>
    <w:rsid w:val="00ED720D"/>
    <w:rsid w:val="00EE5C4F"/>
    <w:rsid w:val="00EF1A67"/>
    <w:rsid w:val="00EF382B"/>
    <w:rsid w:val="00EF3F20"/>
    <w:rsid w:val="00F034FB"/>
    <w:rsid w:val="00F100ED"/>
    <w:rsid w:val="00F13682"/>
    <w:rsid w:val="00F1682E"/>
    <w:rsid w:val="00F211E1"/>
    <w:rsid w:val="00F21B53"/>
    <w:rsid w:val="00F25C84"/>
    <w:rsid w:val="00F300D8"/>
    <w:rsid w:val="00F301EB"/>
    <w:rsid w:val="00F31E17"/>
    <w:rsid w:val="00F34E85"/>
    <w:rsid w:val="00F37989"/>
    <w:rsid w:val="00F4334C"/>
    <w:rsid w:val="00F53890"/>
    <w:rsid w:val="00F57AB6"/>
    <w:rsid w:val="00F60A0A"/>
    <w:rsid w:val="00F63969"/>
    <w:rsid w:val="00F6763F"/>
    <w:rsid w:val="00F706D1"/>
    <w:rsid w:val="00F70EE0"/>
    <w:rsid w:val="00F715BB"/>
    <w:rsid w:val="00F72290"/>
    <w:rsid w:val="00F81216"/>
    <w:rsid w:val="00F8211A"/>
    <w:rsid w:val="00F841EC"/>
    <w:rsid w:val="00F915EB"/>
    <w:rsid w:val="00FA6915"/>
    <w:rsid w:val="00FB677D"/>
    <w:rsid w:val="00FC320E"/>
    <w:rsid w:val="00FC541C"/>
    <w:rsid w:val="00FC6E93"/>
    <w:rsid w:val="00FC707B"/>
    <w:rsid w:val="00FD235C"/>
    <w:rsid w:val="00FD38F0"/>
    <w:rsid w:val="00FD6547"/>
    <w:rsid w:val="00FE57DE"/>
    <w:rsid w:val="00FF2071"/>
    <w:rsid w:val="3BD4F3C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2CAE0E"/>
  <w15:docId w15:val="{81361D72-A33E-487F-9D66-BC4058F9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RC"/>
    <w:qFormat/>
    <w:rsid w:val="009235B0"/>
    <w:rPr>
      <w:color w:val="464645" w:themeColor="text1"/>
      <w:sz w:val="20"/>
      <w:lang w:val="en-GB"/>
    </w:rPr>
  </w:style>
  <w:style w:type="paragraph" w:styleId="Heading1">
    <w:name w:val="heading 1"/>
    <w:aliases w:val="Heading 1 NRC"/>
    <w:basedOn w:val="Normal"/>
    <w:next w:val="Normal"/>
    <w:link w:val="Heading1Char"/>
    <w:uiPriority w:val="9"/>
    <w:qFormat/>
    <w:rsid w:val="004A7E1D"/>
    <w:pPr>
      <w:keepNext/>
      <w:keepLines/>
      <w:numPr>
        <w:numId w:val="1"/>
      </w:numPr>
      <w:pBdr>
        <w:top w:val="single" w:sz="4" w:space="6" w:color="FF7602" w:themeColor="accent1"/>
      </w:pBdr>
      <w:spacing w:before="240" w:after="480"/>
      <w:outlineLvl w:val="0"/>
    </w:pPr>
    <w:rPr>
      <w:rFonts w:asciiTheme="majorHAnsi" w:eastAsiaTheme="majorEastAsia" w:hAnsiTheme="majorHAnsi" w:cstheme="majorBidi"/>
      <w:color w:val="FF7602" w:themeColor="accent1"/>
      <w:sz w:val="36"/>
      <w:szCs w:val="32"/>
    </w:rPr>
  </w:style>
  <w:style w:type="paragraph" w:styleId="Heading2">
    <w:name w:val="heading 2"/>
    <w:aliases w:val="Heading 2 NRC"/>
    <w:basedOn w:val="Normal"/>
    <w:next w:val="Normal"/>
    <w:link w:val="Heading2Char"/>
    <w:uiPriority w:val="9"/>
    <w:unhideWhenUsed/>
    <w:qFormat/>
    <w:rsid w:val="00D87443"/>
    <w:pPr>
      <w:keepNext/>
      <w:keepLines/>
      <w:numPr>
        <w:ilvl w:val="1"/>
        <w:numId w:val="1"/>
      </w:numPr>
      <w:spacing w:before="400" w:after="200"/>
      <w:outlineLvl w:val="1"/>
    </w:pPr>
    <w:rPr>
      <w:rFonts w:asciiTheme="majorHAnsi" w:eastAsiaTheme="majorEastAsia" w:hAnsiTheme="majorHAnsi" w:cstheme="majorBidi"/>
      <w:color w:val="A6A6A5" w:themeColor="text2"/>
      <w:sz w:val="32"/>
      <w:szCs w:val="26"/>
    </w:rPr>
  </w:style>
  <w:style w:type="paragraph" w:styleId="Heading3">
    <w:name w:val="heading 3"/>
    <w:aliases w:val="Heading 3 NRC"/>
    <w:basedOn w:val="Normal"/>
    <w:next w:val="Normal"/>
    <w:link w:val="Heading3Char"/>
    <w:uiPriority w:val="9"/>
    <w:unhideWhenUsed/>
    <w:qFormat/>
    <w:rsid w:val="0062174F"/>
    <w:pPr>
      <w:keepNext/>
      <w:keepLines/>
      <w:numPr>
        <w:ilvl w:val="2"/>
        <w:numId w:val="1"/>
      </w:numPr>
      <w:spacing w:before="200" w:after="40"/>
      <w:outlineLvl w:val="2"/>
    </w:pPr>
    <w:rPr>
      <w:rFonts w:ascii="Franklin Gothic Medium" w:eastAsiaTheme="majorEastAsia" w:hAnsi="Franklin Gothic Medium" w:cstheme="majorBidi"/>
      <w:szCs w:val="24"/>
    </w:rPr>
  </w:style>
  <w:style w:type="paragraph" w:styleId="Heading4">
    <w:name w:val="heading 4"/>
    <w:aliases w:val="Heading 4 NRC"/>
    <w:basedOn w:val="Normal"/>
    <w:next w:val="Normal"/>
    <w:link w:val="Heading4Char"/>
    <w:uiPriority w:val="9"/>
    <w:unhideWhenUsed/>
    <w:qFormat/>
    <w:rsid w:val="0062174F"/>
    <w:pPr>
      <w:keepNext/>
      <w:keepLines/>
      <w:spacing w:before="200" w:after="40"/>
      <w:outlineLvl w:val="3"/>
    </w:pPr>
    <w:rPr>
      <w:rFonts w:ascii="Franklin Gothic Medium" w:eastAsiaTheme="majorEastAsia" w:hAnsi="Franklin Gothic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RC Char"/>
    <w:basedOn w:val="DefaultParagraphFont"/>
    <w:link w:val="Heading1"/>
    <w:uiPriority w:val="9"/>
    <w:rsid w:val="004A7E1D"/>
    <w:rPr>
      <w:rFonts w:asciiTheme="majorHAnsi" w:eastAsiaTheme="majorEastAsia" w:hAnsiTheme="majorHAnsi" w:cstheme="majorBidi"/>
      <w:color w:val="FF7602" w:themeColor="accent1"/>
      <w:sz w:val="36"/>
      <w:szCs w:val="32"/>
      <w:lang w:val="en-GB"/>
    </w:rPr>
  </w:style>
  <w:style w:type="character" w:customStyle="1" w:styleId="Heading2Char">
    <w:name w:val="Heading 2 Char"/>
    <w:aliases w:val="Heading 2 NRC Char"/>
    <w:basedOn w:val="DefaultParagraphFont"/>
    <w:link w:val="Heading2"/>
    <w:uiPriority w:val="9"/>
    <w:rsid w:val="00D87443"/>
    <w:rPr>
      <w:rFonts w:asciiTheme="majorHAnsi" w:eastAsiaTheme="majorEastAsia" w:hAnsiTheme="majorHAnsi" w:cstheme="majorBidi"/>
      <w:color w:val="A6A6A5" w:themeColor="text2"/>
      <w:sz w:val="32"/>
      <w:szCs w:val="26"/>
      <w:lang w:val="en-GB"/>
    </w:rPr>
  </w:style>
  <w:style w:type="character" w:customStyle="1" w:styleId="Heading3Char">
    <w:name w:val="Heading 3 Char"/>
    <w:aliases w:val="Heading 3 NRC Char"/>
    <w:basedOn w:val="DefaultParagraphFont"/>
    <w:link w:val="Heading3"/>
    <w:uiPriority w:val="9"/>
    <w:rsid w:val="0062174F"/>
    <w:rPr>
      <w:rFonts w:ascii="Franklin Gothic Medium" w:eastAsiaTheme="majorEastAsia" w:hAnsi="Franklin Gothic Medium" w:cstheme="majorBidi"/>
      <w:color w:val="464645" w:themeColor="text1"/>
      <w:sz w:val="20"/>
      <w:szCs w:val="24"/>
      <w:lang w:val="en-GB"/>
    </w:rPr>
  </w:style>
  <w:style w:type="character" w:customStyle="1" w:styleId="Heading4Char">
    <w:name w:val="Heading 4 Char"/>
    <w:aliases w:val="Heading 4 NRC Char"/>
    <w:basedOn w:val="DefaultParagraphFont"/>
    <w:link w:val="Heading4"/>
    <w:uiPriority w:val="9"/>
    <w:rsid w:val="0062174F"/>
    <w:rPr>
      <w:rFonts w:ascii="Franklin Gothic Medium" w:eastAsiaTheme="majorEastAsia" w:hAnsi="Franklin Gothic Medium" w:cstheme="majorBidi"/>
      <w:iCs/>
      <w:color w:val="464645" w:themeColor="text1"/>
      <w:sz w:val="20"/>
      <w:lang w:val="en-GB"/>
    </w:rPr>
  </w:style>
  <w:style w:type="paragraph" w:customStyle="1" w:styleId="IngressNRC">
    <w:name w:val="Ingress NRC"/>
    <w:basedOn w:val="Normal"/>
    <w:qFormat/>
    <w:rsid w:val="007B7F17"/>
    <w:pPr>
      <w:spacing w:after="960"/>
    </w:pPr>
    <w:rPr>
      <w:sz w:val="24"/>
    </w:rPr>
  </w:style>
  <w:style w:type="paragraph" w:styleId="ListBullet">
    <w:name w:val="List Bullet"/>
    <w:aliases w:val="Bullet list NRC"/>
    <w:basedOn w:val="Normal"/>
    <w:uiPriority w:val="99"/>
    <w:qFormat/>
    <w:rsid w:val="00A90369"/>
    <w:pPr>
      <w:numPr>
        <w:numId w:val="2"/>
      </w:numPr>
      <w:spacing w:after="80"/>
      <w:ind w:left="340" w:hanging="340"/>
    </w:pPr>
  </w:style>
  <w:style w:type="paragraph" w:styleId="ListParagraph">
    <w:name w:val="List Paragraph"/>
    <w:aliases w:val="List NRC"/>
    <w:basedOn w:val="Normal"/>
    <w:uiPriority w:val="34"/>
    <w:qFormat/>
    <w:rsid w:val="00912719"/>
    <w:pPr>
      <w:numPr>
        <w:numId w:val="3"/>
      </w:numPr>
      <w:spacing w:after="80"/>
    </w:pPr>
  </w:style>
  <w:style w:type="paragraph" w:styleId="Quote">
    <w:name w:val="Quote"/>
    <w:aliases w:val="Quote NRC"/>
    <w:basedOn w:val="Normal"/>
    <w:next w:val="Normal"/>
    <w:link w:val="QuoteChar"/>
    <w:uiPriority w:val="29"/>
    <w:qFormat/>
    <w:rsid w:val="00912719"/>
    <w:pPr>
      <w:spacing w:before="240" w:after="240"/>
    </w:pPr>
    <w:rPr>
      <w:rFonts w:ascii="Garamond" w:hAnsi="Garamond"/>
      <w:i/>
      <w:iCs/>
      <w:sz w:val="32"/>
    </w:rPr>
  </w:style>
  <w:style w:type="character" w:customStyle="1" w:styleId="QuoteChar">
    <w:name w:val="Quote Char"/>
    <w:aliases w:val="Quote NRC Char"/>
    <w:basedOn w:val="DefaultParagraphFont"/>
    <w:link w:val="Quote"/>
    <w:uiPriority w:val="29"/>
    <w:rsid w:val="00912719"/>
    <w:rPr>
      <w:rFonts w:ascii="Garamond" w:hAnsi="Garamond"/>
      <w:i/>
      <w:iCs/>
      <w:color w:val="464645" w:themeColor="text1"/>
      <w:sz w:val="32"/>
      <w:lang w:val="en-GB"/>
    </w:rPr>
  </w:style>
  <w:style w:type="paragraph" w:styleId="Header">
    <w:name w:val="header"/>
    <w:basedOn w:val="Normal"/>
    <w:link w:val="HeaderChar"/>
    <w:uiPriority w:val="99"/>
    <w:semiHidden/>
    <w:rsid w:val="006217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75E"/>
    <w:rPr>
      <w:color w:val="464645" w:themeColor="text1"/>
      <w:sz w:val="20"/>
      <w:lang w:val="en-GB"/>
    </w:rPr>
  </w:style>
  <w:style w:type="paragraph" w:styleId="Footer">
    <w:name w:val="footer"/>
    <w:basedOn w:val="Normal"/>
    <w:link w:val="FooterChar"/>
    <w:uiPriority w:val="99"/>
    <w:semiHidden/>
    <w:rsid w:val="009F049D"/>
    <w:pPr>
      <w:tabs>
        <w:tab w:val="right" w:pos="3827"/>
        <w:tab w:val="center" w:pos="4491"/>
        <w:tab w:val="left" w:pos="5160"/>
      </w:tabs>
      <w:spacing w:after="0" w:line="240" w:lineRule="auto"/>
      <w:jc w:val="center"/>
    </w:pPr>
    <w:rPr>
      <w:caps/>
      <w:sz w:val="18"/>
    </w:rPr>
  </w:style>
  <w:style w:type="character" w:customStyle="1" w:styleId="FooterChar">
    <w:name w:val="Footer Char"/>
    <w:basedOn w:val="DefaultParagraphFont"/>
    <w:link w:val="Footer"/>
    <w:uiPriority w:val="99"/>
    <w:semiHidden/>
    <w:rsid w:val="003F575E"/>
    <w:rPr>
      <w:caps/>
      <w:color w:val="464645" w:themeColor="text1"/>
      <w:sz w:val="18"/>
      <w:lang w:val="en-GB"/>
    </w:rPr>
  </w:style>
  <w:style w:type="table" w:styleId="TableGrid">
    <w:name w:val="Table Grid"/>
    <w:basedOn w:val="TableNormal"/>
    <w:uiPriority w:val="59"/>
    <w:rsid w:val="0091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CTabelll">
    <w:name w:val="NRC Tabelll"/>
    <w:basedOn w:val="TableNormal"/>
    <w:uiPriority w:val="99"/>
    <w:rsid w:val="003162AD"/>
    <w:pPr>
      <w:spacing w:after="0" w:line="240" w:lineRule="auto"/>
      <w:jc w:val="center"/>
    </w:pPr>
    <w:rPr>
      <w:sz w:val="18"/>
    </w:rPr>
    <w:tblPr>
      <w:tblStyleRowBandSize w:val="1"/>
      <w:tblBorders>
        <w:top w:val="single" w:sz="2" w:space="0" w:color="464645" w:themeColor="text1"/>
        <w:bottom w:val="single" w:sz="2" w:space="0" w:color="464645" w:themeColor="text1"/>
      </w:tblBorders>
      <w:tblCellMar>
        <w:top w:w="57" w:type="dxa"/>
        <w:left w:w="0" w:type="dxa"/>
        <w:bottom w:w="57" w:type="dxa"/>
        <w:right w:w="57" w:type="dxa"/>
      </w:tblCellMar>
    </w:tblPr>
    <w:tcPr>
      <w:vAlign w:val="center"/>
    </w:tcPr>
    <w:tblStylePr w:type="firstRow">
      <w:rPr>
        <w:rFonts w:ascii="Franklin Gothic Medium" w:hAnsi="Franklin Gothic Medium"/>
        <w:sz w:val="18"/>
      </w:rPr>
      <w:tblPr/>
      <w:tcPr>
        <w:tcBorders>
          <w:top w:val="nil"/>
          <w:left w:val="nil"/>
          <w:bottom w:val="single" w:sz="4" w:space="0" w:color="464645" w:themeColor="text1"/>
          <w:right w:val="nil"/>
          <w:insideH w:val="nil"/>
          <w:insideV w:val="nil"/>
          <w:tl2br w:val="nil"/>
          <w:tr2bl w:val="nil"/>
        </w:tcBorders>
      </w:tcPr>
    </w:tblStylePr>
    <w:tblStylePr w:type="lastRow">
      <w:pPr>
        <w:jc w:val="left"/>
      </w:pPr>
      <w:rPr>
        <w:rFonts w:asciiTheme="minorHAnsi" w:hAnsiTheme="minorHAnsi"/>
        <w:sz w:val="16"/>
      </w:rPr>
      <w:tblPr/>
      <w:tcPr>
        <w:tcBorders>
          <w:top w:val="single" w:sz="4" w:space="0" w:color="464645" w:themeColor="text1"/>
          <w:left w:val="nil"/>
          <w:bottom w:val="nil"/>
          <w:right w:val="nil"/>
          <w:insideH w:val="nil"/>
          <w:insideV w:val="nil"/>
          <w:tl2br w:val="nil"/>
          <w:tr2bl w:val="nil"/>
        </w:tcBorders>
      </w:tcPr>
    </w:tblStylePr>
    <w:tblStylePr w:type="firstCol">
      <w:pPr>
        <w:jc w:val="left"/>
      </w:pPr>
      <w:rPr>
        <w:rFonts w:ascii="Franklin Gothic Medium" w:hAnsi="Franklin Gothic Medium"/>
        <w:sz w:val="18"/>
      </w:rPr>
    </w:tblStylePr>
    <w:tblStylePr w:type="band1Horz">
      <w:tblPr/>
      <w:tcPr>
        <w:tcBorders>
          <w:bottom w:val="single" w:sz="4" w:space="0" w:color="A6A6A5" w:themeColor="text2"/>
        </w:tcBorders>
      </w:tcPr>
    </w:tblStylePr>
    <w:tblStylePr w:type="band2Horz">
      <w:tblPr/>
      <w:tcPr>
        <w:tcBorders>
          <w:bottom w:val="single" w:sz="4" w:space="0" w:color="A6A6A5" w:themeColor="text2"/>
        </w:tcBorders>
      </w:tcPr>
    </w:tblStylePr>
  </w:style>
  <w:style w:type="paragraph" w:customStyle="1" w:styleId="TableheadingNRC">
    <w:name w:val="Tableheading NRC"/>
    <w:basedOn w:val="Heading4"/>
    <w:qFormat/>
    <w:rsid w:val="00A057B6"/>
    <w:rPr>
      <w:caps/>
    </w:rPr>
  </w:style>
  <w:style w:type="paragraph" w:styleId="Title">
    <w:name w:val="Title"/>
    <w:aliases w:val="Title NRC"/>
    <w:basedOn w:val="Normal"/>
    <w:link w:val="TitleChar"/>
    <w:uiPriority w:val="10"/>
    <w:qFormat/>
    <w:rsid w:val="00F211E1"/>
    <w:pPr>
      <w:spacing w:before="240" w:after="240" w:line="216" w:lineRule="auto"/>
      <w:ind w:left="227" w:right="227"/>
      <w:contextualSpacing/>
    </w:pPr>
    <w:rPr>
      <w:rFonts w:ascii="Franklin Gothic Medium" w:eastAsiaTheme="majorEastAsia" w:hAnsi="Franklin Gothic Medium" w:cstheme="majorBidi"/>
      <w:color w:val="FFFFFF" w:themeColor="background1"/>
      <w:kern w:val="28"/>
      <w:sz w:val="72"/>
      <w:szCs w:val="56"/>
    </w:rPr>
  </w:style>
  <w:style w:type="character" w:customStyle="1" w:styleId="TitleChar">
    <w:name w:val="Title Char"/>
    <w:aliases w:val="Title NRC Char"/>
    <w:basedOn w:val="DefaultParagraphFont"/>
    <w:link w:val="Title"/>
    <w:uiPriority w:val="10"/>
    <w:rsid w:val="00F211E1"/>
    <w:rPr>
      <w:rFonts w:ascii="Franklin Gothic Medium" w:eastAsiaTheme="majorEastAsia" w:hAnsi="Franklin Gothic Medium" w:cstheme="majorBidi"/>
      <w:color w:val="FFFFFF" w:themeColor="background1"/>
      <w:kern w:val="28"/>
      <w:sz w:val="72"/>
      <w:szCs w:val="56"/>
      <w:lang w:val="en-GB"/>
    </w:rPr>
  </w:style>
  <w:style w:type="paragraph" w:styleId="Subtitle">
    <w:name w:val="Subtitle"/>
    <w:aliases w:val="Subtitle NRC"/>
    <w:basedOn w:val="Normal"/>
    <w:next w:val="Normal"/>
    <w:link w:val="SubtitleChar"/>
    <w:uiPriority w:val="11"/>
    <w:qFormat/>
    <w:rsid w:val="00F211E1"/>
    <w:pPr>
      <w:numPr>
        <w:ilvl w:val="1"/>
      </w:numPr>
      <w:spacing w:before="240" w:after="0"/>
    </w:pPr>
    <w:rPr>
      <w:rFonts w:eastAsiaTheme="minorEastAsia"/>
      <w:sz w:val="24"/>
    </w:rPr>
  </w:style>
  <w:style w:type="character" w:customStyle="1" w:styleId="SubtitleChar">
    <w:name w:val="Subtitle Char"/>
    <w:aliases w:val="Subtitle NRC Char"/>
    <w:basedOn w:val="DefaultParagraphFont"/>
    <w:link w:val="Subtitle"/>
    <w:uiPriority w:val="11"/>
    <w:rsid w:val="00F211E1"/>
    <w:rPr>
      <w:rFonts w:eastAsiaTheme="minorEastAsia"/>
      <w:color w:val="464645" w:themeColor="text1"/>
      <w:sz w:val="24"/>
      <w:lang w:val="en-GB"/>
    </w:rPr>
  </w:style>
  <w:style w:type="character" w:styleId="PlaceholderText">
    <w:name w:val="Placeholder Text"/>
    <w:basedOn w:val="DefaultParagraphFont"/>
    <w:uiPriority w:val="99"/>
    <w:semiHidden/>
    <w:rsid w:val="00091EBF"/>
    <w:rPr>
      <w:color w:val="808080"/>
    </w:rPr>
  </w:style>
  <w:style w:type="paragraph" w:customStyle="1" w:styleId="FrontpagetextNRC">
    <w:name w:val="Frontpagetext NRC"/>
    <w:basedOn w:val="Normal"/>
    <w:qFormat/>
    <w:rsid w:val="00F211E1"/>
    <w:pPr>
      <w:framePr w:hSpace="142" w:wrap="around" w:vAnchor="page" w:hAnchor="margin" w:y="10859"/>
      <w:spacing w:before="240" w:after="0" w:line="240" w:lineRule="auto"/>
      <w:suppressOverlap/>
    </w:pPr>
    <w:rPr>
      <w:rFonts w:ascii="Franklin Gothic Medium" w:hAnsi="Franklin Gothic Medium"/>
      <w:caps/>
      <w:color w:val="FF7602" w:themeColor="accent1"/>
      <w:sz w:val="18"/>
      <w:lang w:val="nb-NO"/>
    </w:rPr>
  </w:style>
  <w:style w:type="paragraph" w:styleId="TOC2">
    <w:name w:val="toc 2"/>
    <w:basedOn w:val="Normal"/>
    <w:next w:val="Normal"/>
    <w:autoRedefine/>
    <w:uiPriority w:val="39"/>
    <w:semiHidden/>
    <w:rsid w:val="00D87443"/>
    <w:pPr>
      <w:tabs>
        <w:tab w:val="right" w:pos="7926"/>
      </w:tabs>
      <w:spacing w:after="0"/>
      <w:ind w:left="924" w:hanging="567"/>
      <w:contextualSpacing/>
    </w:pPr>
  </w:style>
  <w:style w:type="paragraph" w:styleId="TOC1">
    <w:name w:val="toc 1"/>
    <w:basedOn w:val="Normal"/>
    <w:next w:val="Normal"/>
    <w:autoRedefine/>
    <w:uiPriority w:val="39"/>
    <w:semiHidden/>
    <w:rsid w:val="00D87443"/>
    <w:pPr>
      <w:tabs>
        <w:tab w:val="right" w:pos="7926"/>
      </w:tabs>
      <w:spacing w:before="160" w:after="80"/>
      <w:ind w:left="357" w:hanging="357"/>
    </w:pPr>
  </w:style>
  <w:style w:type="paragraph" w:styleId="TOC3">
    <w:name w:val="toc 3"/>
    <w:basedOn w:val="Normal"/>
    <w:next w:val="Normal"/>
    <w:autoRedefine/>
    <w:uiPriority w:val="39"/>
    <w:semiHidden/>
    <w:rsid w:val="00CB6097"/>
    <w:pPr>
      <w:tabs>
        <w:tab w:val="left" w:pos="1320"/>
        <w:tab w:val="right" w:pos="7926"/>
      </w:tabs>
      <w:spacing w:after="0"/>
      <w:ind w:left="1474" w:hanging="567"/>
      <w:contextualSpacing/>
    </w:pPr>
  </w:style>
  <w:style w:type="character" w:styleId="Hyperlink">
    <w:name w:val="Hyperlink"/>
    <w:basedOn w:val="DefaultParagraphFont"/>
    <w:uiPriority w:val="99"/>
    <w:semiHidden/>
    <w:rsid w:val="004B5714"/>
    <w:rPr>
      <w:color w:val="0563C1" w:themeColor="hyperlink"/>
      <w:u w:val="single"/>
    </w:rPr>
  </w:style>
  <w:style w:type="table" w:customStyle="1" w:styleId="ForsideTabell">
    <w:name w:val="ForsideTabell"/>
    <w:basedOn w:val="TableNormal"/>
    <w:uiPriority w:val="99"/>
    <w:rsid w:val="00E14EEF"/>
    <w:pPr>
      <w:spacing w:after="0" w:line="240" w:lineRule="auto"/>
    </w:pPr>
    <w:tblPr>
      <w:tblCellMar>
        <w:left w:w="0" w:type="dxa"/>
        <w:right w:w="0" w:type="dxa"/>
      </w:tblCellMar>
    </w:tblPr>
  </w:style>
  <w:style w:type="paragraph" w:styleId="FootnoteText">
    <w:name w:val="footnote text"/>
    <w:aliases w:val="Footnote text NRC"/>
    <w:basedOn w:val="Normal"/>
    <w:link w:val="FootnoteTextChar"/>
    <w:uiPriority w:val="99"/>
    <w:qFormat/>
    <w:rsid w:val="00FC707B"/>
    <w:pPr>
      <w:spacing w:after="0" w:line="240" w:lineRule="auto"/>
    </w:pPr>
    <w:rPr>
      <w:sz w:val="16"/>
      <w:szCs w:val="20"/>
    </w:rPr>
  </w:style>
  <w:style w:type="character" w:customStyle="1" w:styleId="FootnoteTextChar">
    <w:name w:val="Footnote Text Char"/>
    <w:aliases w:val="Footnote text NRC Char"/>
    <w:basedOn w:val="DefaultParagraphFont"/>
    <w:link w:val="FootnoteText"/>
    <w:uiPriority w:val="99"/>
    <w:rsid w:val="00FC707B"/>
    <w:rPr>
      <w:color w:val="464645" w:themeColor="text1"/>
      <w:sz w:val="16"/>
      <w:szCs w:val="20"/>
      <w:lang w:val="en-GB"/>
    </w:rPr>
  </w:style>
  <w:style w:type="character" w:styleId="FootnoteReference">
    <w:name w:val="footnote reference"/>
    <w:basedOn w:val="DefaultParagraphFont"/>
    <w:uiPriority w:val="99"/>
    <w:semiHidden/>
    <w:unhideWhenUsed/>
    <w:rsid w:val="00FC707B"/>
    <w:rPr>
      <w:vertAlign w:val="superscript"/>
    </w:rPr>
  </w:style>
  <w:style w:type="table" w:customStyle="1" w:styleId="Forsidestil">
    <w:name w:val="Forsidestil"/>
    <w:basedOn w:val="TableNormal"/>
    <w:uiPriority w:val="99"/>
    <w:rsid w:val="003637EE"/>
    <w:pPr>
      <w:spacing w:after="0" w:line="240" w:lineRule="auto"/>
    </w:pPr>
    <w:tblPr>
      <w:tblCellMar>
        <w:left w:w="0" w:type="dxa"/>
        <w:right w:w="0" w:type="dxa"/>
      </w:tblCellMar>
    </w:tblPr>
    <w:tcPr>
      <w:vAlign w:val="bottom"/>
    </w:tcPr>
    <w:tblStylePr w:type="firstRow">
      <w:tblPr/>
      <w:tcPr>
        <w:shd w:val="clear" w:color="auto" w:fill="464645" w:themeFill="text1"/>
      </w:tcPr>
    </w:tblStylePr>
  </w:style>
  <w:style w:type="paragraph" w:styleId="Caption">
    <w:name w:val="caption"/>
    <w:aliases w:val="Caption NRC"/>
    <w:basedOn w:val="Normal"/>
    <w:next w:val="Normal"/>
    <w:uiPriority w:val="35"/>
    <w:qFormat/>
    <w:rsid w:val="001B6690"/>
    <w:pPr>
      <w:spacing w:after="200" w:line="240" w:lineRule="auto"/>
    </w:pPr>
    <w:rPr>
      <w:i/>
      <w:iCs/>
      <w:sz w:val="16"/>
      <w:szCs w:val="18"/>
    </w:rPr>
  </w:style>
  <w:style w:type="character" w:styleId="Strong">
    <w:name w:val="Strong"/>
    <w:aliases w:val="Strong NRC"/>
    <w:basedOn w:val="DefaultParagraphFont"/>
    <w:uiPriority w:val="22"/>
    <w:qFormat/>
    <w:rsid w:val="00B14103"/>
    <w:rPr>
      <w:rFonts w:ascii="Franklin Gothic Medium" w:hAnsi="Franklin Gothic Medium"/>
      <w:b w:val="0"/>
      <w:bCs/>
    </w:rPr>
  </w:style>
  <w:style w:type="paragraph" w:customStyle="1" w:styleId="Tableheading">
    <w:name w:val="Tableheading"/>
    <w:basedOn w:val="Heading4"/>
    <w:semiHidden/>
    <w:rsid w:val="007F0D7F"/>
    <w:rPr>
      <w:caps/>
    </w:rPr>
  </w:style>
  <w:style w:type="paragraph" w:customStyle="1" w:styleId="AppendixTitleNRC">
    <w:name w:val="Appendix Title NRC"/>
    <w:basedOn w:val="Normal"/>
    <w:next w:val="Normal"/>
    <w:qFormat/>
    <w:rsid w:val="0039048B"/>
    <w:pPr>
      <w:pageBreakBefore/>
      <w:framePr w:w="8505" w:vSpace="170" w:wrap="around" w:vAnchor="page" w:hAnchor="text" w:y="1135"/>
      <w:numPr>
        <w:numId w:val="4"/>
      </w:numPr>
      <w:pBdr>
        <w:bottom w:val="single" w:sz="4" w:space="6" w:color="464645" w:themeColor="text1"/>
      </w:pBdr>
      <w:spacing w:after="0"/>
      <w:ind w:left="1985" w:hanging="1985"/>
    </w:pPr>
    <w:rPr>
      <w:sz w:val="32"/>
    </w:rPr>
  </w:style>
  <w:style w:type="paragraph" w:styleId="BalloonText">
    <w:name w:val="Balloon Text"/>
    <w:basedOn w:val="Normal"/>
    <w:link w:val="BalloonTextChar"/>
    <w:uiPriority w:val="99"/>
    <w:semiHidden/>
    <w:unhideWhenUsed/>
    <w:rsid w:val="0013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3C"/>
    <w:rPr>
      <w:rFonts w:ascii="Tahoma" w:hAnsi="Tahoma" w:cs="Tahoma"/>
      <w:color w:val="464645" w:themeColor="text1"/>
      <w:sz w:val="16"/>
      <w:szCs w:val="16"/>
      <w:lang w:val="en-GB"/>
    </w:rPr>
  </w:style>
  <w:style w:type="paragraph" w:customStyle="1" w:styleId="NoSpacing1">
    <w:name w:val="No Spacing1"/>
    <w:link w:val="NoSpacingChar"/>
    <w:uiPriority w:val="99"/>
    <w:qFormat/>
    <w:rsid w:val="00D76A0C"/>
    <w:pPr>
      <w:spacing w:after="0" w:line="240" w:lineRule="auto"/>
    </w:pPr>
    <w:rPr>
      <w:rFonts w:ascii="Calibri" w:eastAsia="Times New Roman" w:hAnsi="Calibri" w:cs="Times New Roman"/>
      <w:lang w:val="en-US" w:eastAsia="nb-NO"/>
    </w:rPr>
  </w:style>
  <w:style w:type="character" w:customStyle="1" w:styleId="NoSpacingChar">
    <w:name w:val="No Spacing Char"/>
    <w:link w:val="NoSpacing1"/>
    <w:uiPriority w:val="99"/>
    <w:locked/>
    <w:rsid w:val="00D76A0C"/>
    <w:rPr>
      <w:rFonts w:ascii="Calibri" w:eastAsia="Times New Roman" w:hAnsi="Calibri" w:cs="Times New Roman"/>
      <w:lang w:val="en-US" w:eastAsia="nb-NO"/>
    </w:rPr>
  </w:style>
  <w:style w:type="paragraph" w:styleId="NormalWeb">
    <w:name w:val="Normal (Web)"/>
    <w:basedOn w:val="Normal"/>
    <w:uiPriority w:val="99"/>
    <w:semiHidden/>
    <w:unhideWhenUsed/>
    <w:rsid w:val="00C4674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CommentReference">
    <w:name w:val="annotation reference"/>
    <w:basedOn w:val="DefaultParagraphFont"/>
    <w:uiPriority w:val="99"/>
    <w:semiHidden/>
    <w:unhideWhenUsed/>
    <w:rsid w:val="00503591"/>
    <w:rPr>
      <w:sz w:val="16"/>
      <w:szCs w:val="16"/>
    </w:rPr>
  </w:style>
  <w:style w:type="paragraph" w:styleId="CommentText">
    <w:name w:val="annotation text"/>
    <w:basedOn w:val="Normal"/>
    <w:link w:val="CommentTextChar"/>
    <w:uiPriority w:val="99"/>
    <w:unhideWhenUsed/>
    <w:rsid w:val="00503591"/>
    <w:pPr>
      <w:spacing w:line="240" w:lineRule="auto"/>
    </w:pPr>
    <w:rPr>
      <w:szCs w:val="20"/>
    </w:rPr>
  </w:style>
  <w:style w:type="character" w:customStyle="1" w:styleId="CommentTextChar">
    <w:name w:val="Comment Text Char"/>
    <w:basedOn w:val="DefaultParagraphFont"/>
    <w:link w:val="CommentText"/>
    <w:uiPriority w:val="99"/>
    <w:rsid w:val="00503591"/>
    <w:rPr>
      <w:color w:val="464645" w:themeColor="text1"/>
      <w:sz w:val="20"/>
      <w:szCs w:val="20"/>
      <w:lang w:val="en-GB"/>
    </w:rPr>
  </w:style>
  <w:style w:type="paragraph" w:styleId="CommentSubject">
    <w:name w:val="annotation subject"/>
    <w:basedOn w:val="CommentText"/>
    <w:next w:val="CommentText"/>
    <w:link w:val="CommentSubjectChar"/>
    <w:uiPriority w:val="99"/>
    <w:semiHidden/>
    <w:unhideWhenUsed/>
    <w:rsid w:val="00503591"/>
    <w:rPr>
      <w:b/>
      <w:bCs/>
    </w:rPr>
  </w:style>
  <w:style w:type="character" w:customStyle="1" w:styleId="CommentSubjectChar">
    <w:name w:val="Comment Subject Char"/>
    <w:basedOn w:val="CommentTextChar"/>
    <w:link w:val="CommentSubject"/>
    <w:uiPriority w:val="99"/>
    <w:semiHidden/>
    <w:rsid w:val="00503591"/>
    <w:rPr>
      <w:b/>
      <w:bCs/>
      <w:color w:val="464645" w:themeColor="text1"/>
      <w:sz w:val="20"/>
      <w:szCs w:val="20"/>
      <w:lang w:val="en-GB"/>
    </w:rPr>
  </w:style>
  <w:style w:type="paragraph" w:styleId="Revision">
    <w:name w:val="Revision"/>
    <w:hidden/>
    <w:uiPriority w:val="99"/>
    <w:semiHidden/>
    <w:rsid w:val="00503591"/>
    <w:pPr>
      <w:spacing w:after="0" w:line="240" w:lineRule="auto"/>
    </w:pPr>
    <w:rPr>
      <w:color w:val="464645"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58530">
      <w:bodyDiv w:val="1"/>
      <w:marLeft w:val="0"/>
      <w:marRight w:val="0"/>
      <w:marTop w:val="0"/>
      <w:marBottom w:val="0"/>
      <w:divBdr>
        <w:top w:val="none" w:sz="0" w:space="0" w:color="auto"/>
        <w:left w:val="none" w:sz="0" w:space="0" w:color="auto"/>
        <w:bottom w:val="none" w:sz="0" w:space="0" w:color="auto"/>
        <w:right w:val="none" w:sz="0" w:space="0" w:color="auto"/>
      </w:divBdr>
    </w:div>
    <w:div w:id="991636482">
      <w:bodyDiv w:val="1"/>
      <w:marLeft w:val="0"/>
      <w:marRight w:val="0"/>
      <w:marTop w:val="0"/>
      <w:marBottom w:val="0"/>
      <w:divBdr>
        <w:top w:val="none" w:sz="0" w:space="0" w:color="auto"/>
        <w:left w:val="none" w:sz="0" w:space="0" w:color="auto"/>
        <w:bottom w:val="none" w:sz="0" w:space="0" w:color="auto"/>
        <w:right w:val="none" w:sz="0" w:space="0" w:color="auto"/>
      </w:divBdr>
    </w:div>
    <w:div w:id="11837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Monitoring%20and%20Evaluation\Evaluation%20Management\Evaluation%20Handbook\TOR%20Template%20January%2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7D97281F8C45DC87EA409313CB83D1"/>
        <w:category>
          <w:name w:val="General"/>
          <w:gallery w:val="placeholder"/>
        </w:category>
        <w:types>
          <w:type w:val="bbPlcHdr"/>
        </w:types>
        <w:behaviors>
          <w:behavior w:val="content"/>
        </w:behaviors>
        <w:guid w:val="{26CDE80B-F2C0-4A19-8AC0-759DC36D472F}"/>
      </w:docPartPr>
      <w:docPartBody>
        <w:p w:rsidR="00B504E9" w:rsidRDefault="00EF382B">
          <w:pPr>
            <w:pStyle w:val="957D97281F8C45DC87EA409313CB83D1"/>
          </w:pPr>
          <w:r>
            <w:rPr>
              <w:lang w:val="nb-NO"/>
            </w:rPr>
            <w:t>Insert date</w:t>
          </w:r>
        </w:p>
      </w:docPartBody>
    </w:docPart>
    <w:docPart>
      <w:docPartPr>
        <w:name w:val="AD4048BE3B134F0BBB7399E6F4D62F96"/>
        <w:category>
          <w:name w:val="General"/>
          <w:gallery w:val="placeholder"/>
        </w:category>
        <w:types>
          <w:type w:val="bbPlcHdr"/>
        </w:types>
        <w:behaviors>
          <w:behavior w:val="content"/>
        </w:behaviors>
        <w:guid w:val="{1BB75E25-EABF-4CB8-8CD8-5FF7C7E16A7E}"/>
      </w:docPartPr>
      <w:docPartBody>
        <w:p w:rsidR="00A17E94" w:rsidRDefault="00903ACC" w:rsidP="00903ACC">
          <w:pPr>
            <w:pStyle w:val="AD4048BE3B134F0BBB7399E6F4D62F96"/>
          </w:pPr>
          <w:r>
            <w:rPr>
              <w:color w:val="000000" w:themeColor="text1"/>
            </w:rPr>
            <w:t>[</w:t>
          </w:r>
          <w:r w:rsidRPr="003A2EAE">
            <w:rPr>
              <w:color w:val="000000" w:themeColor="text1"/>
            </w:rPr>
            <w:t>Heading</w:t>
          </w:r>
          <w:r>
            <w:rPr>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E9"/>
    <w:rsid w:val="0021328C"/>
    <w:rsid w:val="00240F0F"/>
    <w:rsid w:val="0033018B"/>
    <w:rsid w:val="004D2B54"/>
    <w:rsid w:val="005C11C8"/>
    <w:rsid w:val="0062360C"/>
    <w:rsid w:val="006D01C1"/>
    <w:rsid w:val="006D4350"/>
    <w:rsid w:val="00724D8F"/>
    <w:rsid w:val="007E0702"/>
    <w:rsid w:val="00801D36"/>
    <w:rsid w:val="008135E1"/>
    <w:rsid w:val="00842D3F"/>
    <w:rsid w:val="00903ACC"/>
    <w:rsid w:val="0096693C"/>
    <w:rsid w:val="009C00FF"/>
    <w:rsid w:val="00A17E94"/>
    <w:rsid w:val="00AD7ECD"/>
    <w:rsid w:val="00B504E9"/>
    <w:rsid w:val="00B948C9"/>
    <w:rsid w:val="00C82481"/>
    <w:rsid w:val="00CB65C7"/>
    <w:rsid w:val="00CE2EE6"/>
    <w:rsid w:val="00CE381C"/>
    <w:rsid w:val="00E351D1"/>
    <w:rsid w:val="00EF3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7D97281F8C45DC87EA409313CB83D1">
    <w:name w:val="957D97281F8C45DC87EA409313CB83D1"/>
  </w:style>
  <w:style w:type="paragraph" w:customStyle="1" w:styleId="AD4048BE3B134F0BBB7399E6F4D62F96">
    <w:name w:val="AD4048BE3B134F0BBB7399E6F4D62F96"/>
    <w:rsid w:val="00903AC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NRC">
      <a:dk1>
        <a:srgbClr val="464645"/>
      </a:dk1>
      <a:lt1>
        <a:sysClr val="window" lastClr="FFFFFF"/>
      </a:lt1>
      <a:dk2>
        <a:srgbClr val="A6A6A5"/>
      </a:dk2>
      <a:lt2>
        <a:srgbClr val="D3D3D2"/>
      </a:lt2>
      <a:accent1>
        <a:srgbClr val="FF7602"/>
      </a:accent1>
      <a:accent2>
        <a:srgbClr val="72C7E7"/>
      </a:accent2>
      <a:accent3>
        <a:srgbClr val="0094B3"/>
      </a:accent3>
      <a:accent4>
        <a:srgbClr val="CE5C43"/>
      </a:accent4>
      <a:accent5>
        <a:srgbClr val="FDC82F"/>
      </a:accent5>
      <a:accent6>
        <a:srgbClr val="F3EC7A"/>
      </a:accent6>
      <a:hlink>
        <a:srgbClr val="0563C1"/>
      </a:hlink>
      <a:folHlink>
        <a:srgbClr val="954F72"/>
      </a:folHlink>
    </a:clrScheme>
    <a:fontScheme name="NRC">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cument" ma:contentTypeID="0x010100311312A27A3B8B4FBF5A03613CBEC427" ma:contentTypeVersion="16" ma:contentTypeDescription="Create a new document." ma:contentTypeScope="" ma:versionID="784893d25ee0e67a567063bc784f94c1">
  <xsd:schema xmlns:xsd="http://www.w3.org/2001/XMLSchema" xmlns:xs="http://www.w3.org/2001/XMLSchema" xmlns:p="http://schemas.microsoft.com/office/2006/metadata/properties" xmlns:ns2="3e5a2100-af1b-434d-9597-f3a3b80836a4" targetNamespace="http://schemas.microsoft.com/office/2006/metadata/properties" ma:root="true" ma:fieldsID="6c9d8c153b0deaf06c079f8d5ee12e96" ns2:_="">
    <xsd:import namespace="3e5a2100-af1b-434d-9597-f3a3b80836a4"/>
    <xsd:element name="properties">
      <xsd:complexType>
        <xsd:sequence>
          <xsd:element name="documentManagement">
            <xsd:complexType>
              <xsd:all>
                <xsd:element ref="ns2:Section"/>
                <xsd:element ref="ns2:Language"/>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Subsection" minOccurs="0"/>
                <xsd:element ref="ns2:Date" minOccurs="0"/>
                <xsd:element ref="ns2:CC" minOccurs="0"/>
                <xsd:element ref="ns2:Programmeyear" minOccurs="0"/>
                <xsd:element ref="ns2:Evaluation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a2100-af1b-434d-9597-f3a3b80836a4" elementFormDefault="qualified">
    <xsd:import namespace="http://schemas.microsoft.com/office/2006/documentManagement/types"/>
    <xsd:import namespace="http://schemas.microsoft.com/office/infopath/2007/PartnerControls"/>
    <xsd:element name="Section" ma:index="8" ma:displayName="Section" ma:format="Dropdown" ma:internalName="Section">
      <xsd:simpleType>
        <xsd:restriction base="dms:Choice">
          <xsd:enumeration value="Global Framework"/>
          <xsd:enumeration value="MEL in country offices"/>
          <xsd:enumeration value="PCM-1 Programming"/>
          <xsd:enumeration value="PCM-2 Identification"/>
          <xsd:enumeration value="PCM-3 Formulation"/>
          <xsd:enumeration value="PCM-4 Implementation"/>
          <xsd:enumeration value="PCM-5 Evaluation and close"/>
          <xsd:enumeration value="Quality monitoring"/>
          <xsd:enumeration value="Evaluations"/>
          <xsd:enumeration value="Data collection methods"/>
          <xsd:enumeration value="Learning"/>
          <xsd:enumeration value="Output monitoring"/>
          <xsd:enumeration value="SIP"/>
          <xsd:enumeration value="FLR"/>
          <xsd:enumeration value="H2R"/>
          <xsd:enumeration value="Partners"/>
          <xsd:enumeration value="Donor support"/>
          <xsd:enumeration value="Outcome monitoring"/>
          <xsd:enumeration value="Process monitoring"/>
          <xsd:enumeration value="Reference"/>
          <xsd:enumeration value="Results monitoring"/>
          <xsd:enumeration value="Data collection standards and ethics"/>
          <xsd:enumeration value="CC-specific tools"/>
        </xsd:restriction>
      </xsd:simpleType>
    </xsd:element>
    <xsd:element name="Language" ma:index="9" ma:displayName="Language" ma:default="English" ma:format="Dropdown" ma:internalName="Language">
      <xsd:simpleType>
        <xsd:union memberTypes="dms:Text">
          <xsd:simpleType>
            <xsd:restriction base="dms:Choice">
              <xsd:enumeration value="English"/>
              <xsd:enumeration value="French"/>
              <xsd:enumeration value="Spanish"/>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Subsection" ma:index="18" nillable="true" ma:displayName="Subsection" ma:description="Within the overall section, how should these documents be grouped?" ma:format="Dropdown" ma:internalName="Subsection">
      <xsd:simpleType>
        <xsd:union memberTypes="dms:Text">
          <xsd:simpleType>
            <xsd:restriction base="dms:Choice">
              <xsd:enumeration value="General"/>
            </xsd:restriction>
          </xsd:simpleType>
        </xsd:union>
      </xsd:simpleType>
    </xsd:element>
    <xsd:element name="Date" ma:index="19" nillable="true" ma:displayName="Date drafted / updated" ma:decimals="0" ma:description="Date drafted / last updated" ma:format="Dropdown" ma:internalName="Date" ma:percentage="FALSE">
      <xsd:simpleType>
        <xsd:restriction base="dms:Number">
          <xsd:maxInclusive value="2050"/>
          <xsd:minInclusive value="2010"/>
        </xsd:restriction>
      </xsd:simpleType>
    </xsd:element>
    <xsd:element name="CC" ma:index="20" nillable="true" ma:displayName="CC" ma:format="RadioButtons" ma:internalName="CC">
      <xsd:simpleType>
        <xsd:restriction base="dms:Choice">
          <xsd:enumeration value="All CCs"/>
          <xsd:enumeration value="Education"/>
          <xsd:enumeration value="ICLA"/>
          <xsd:enumeration value="LFS"/>
          <xsd:enumeration value="PfV"/>
          <xsd:enumeration value="S&amp;S"/>
          <xsd:enumeration value="WASH"/>
          <xsd:enumeration value="MPC"/>
        </xsd:restriction>
      </xsd:simpleType>
    </xsd:element>
    <xsd:element name="Programmeyear" ma:index="21" nillable="true" ma:displayName="Programme year" ma:decimals="0" ma:format="Dropdown" ma:internalName="Programmeyear" ma:percentage="FALSE">
      <xsd:simpleType>
        <xsd:restriction base="dms:Number">
          <xsd:maxInclusive value="2050"/>
          <xsd:minInclusive value="2010"/>
        </xsd:restriction>
      </xsd:simpleType>
    </xsd:element>
    <xsd:element name="Evaluationphase" ma:index="22" nillable="true" ma:displayName="Evaluation phase" ma:format="Dropdown" ma:internalName="Evaluationphase">
      <xsd:simpleType>
        <xsd:restriction base="dms:Choice">
          <xsd:enumeration value="1. set-up"/>
          <xsd:enumeration value="2. design"/>
          <xsd:enumeration value="3. finding the team"/>
          <xsd:enumeration value="4. inception"/>
          <xsd:enumeration value="5. data collection"/>
          <xsd:enumeration value="6. outputs"/>
          <xsd:enumeration value="7. u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3e5a2100-af1b-434d-9597-f3a3b80836a4">Evaluations</Section>
    <Language xmlns="3e5a2100-af1b-434d-9597-f3a3b80836a4">English</Language>
    <Subsection xmlns="3e5a2100-af1b-434d-9597-f3a3b80836a4">Managing evaluations (external)</Subsection>
    <CC xmlns="3e5a2100-af1b-434d-9597-f3a3b80836a4" xsi:nil="true"/>
    <Date xmlns="3e5a2100-af1b-434d-9597-f3a3b80836a4" xsi:nil="true"/>
    <Programmeyear xmlns="3e5a2100-af1b-434d-9597-f3a3b80836a4" xsi:nil="true"/>
    <MediaLengthInSeconds xmlns="3e5a2100-af1b-434d-9597-f3a3b80836a4" xsi:nil="true"/>
    <Evaluationphase xmlns="3e5a2100-af1b-434d-9597-f3a3b80836a4">2. design</Evaluationphas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7BBFD-CE12-4C30-9DA7-35A00032CCA7}">
  <ds:schemaRefs/>
</ds:datastoreItem>
</file>

<file path=customXml/itemProps2.xml><?xml version="1.0" encoding="utf-8"?>
<ds:datastoreItem xmlns:ds="http://schemas.openxmlformats.org/officeDocument/2006/customXml" ds:itemID="{697555EE-7B42-43AE-AC67-0C5AF239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a2100-af1b-434d-9597-f3a3b8083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D37E0-01ED-4956-89D4-C43780C241B3}">
  <ds:schemaRefs>
    <ds:schemaRef ds:uri="http://schemas.microsoft.com/office/2006/metadata/properties"/>
    <ds:schemaRef ds:uri="http://schemas.microsoft.com/office/infopath/2007/PartnerControls"/>
    <ds:schemaRef ds:uri="3e5a2100-af1b-434d-9597-f3a3b80836a4"/>
  </ds:schemaRefs>
</ds:datastoreItem>
</file>

<file path=customXml/itemProps4.xml><?xml version="1.0" encoding="utf-8"?>
<ds:datastoreItem xmlns:ds="http://schemas.openxmlformats.org/officeDocument/2006/customXml" ds:itemID="{21A264B1-74E7-4BD4-9AC2-5C7B05AC3C3E}">
  <ds:schemaRefs>
    <ds:schemaRef ds:uri="http://schemas.openxmlformats.org/officeDocument/2006/bibliography"/>
  </ds:schemaRefs>
</ds:datastoreItem>
</file>

<file path=customXml/itemProps5.xml><?xml version="1.0" encoding="utf-8"?>
<ds:datastoreItem xmlns:ds="http://schemas.openxmlformats.org/officeDocument/2006/customXml" ds:itemID="{6515207C-11BF-4E95-9BE0-32BB9F9F5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TOR Template January 2016</Template>
  <TotalTime>28</TotalTime>
  <Pages>8</Pages>
  <Words>3143</Words>
  <Characters>17916</Characters>
  <Application>Microsoft Office Word</Application>
  <DocSecurity>0</DocSecurity>
  <Lines>149</Lines>
  <Paragraphs>42</Paragraphs>
  <ScaleCrop>false</ScaleCrop>
  <Company>NRC</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Bradley</dc:creator>
  <cp:keywords/>
  <dc:description>Template by addpoint.no</dc:description>
  <cp:lastModifiedBy>Charles Mule</cp:lastModifiedBy>
  <cp:revision>7</cp:revision>
  <dcterms:created xsi:type="dcterms:W3CDTF">2025-07-07T17:36:00Z</dcterms:created>
  <dcterms:modified xsi:type="dcterms:W3CDTF">2025-07-24T05:00:00Z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0x010100311312A27A3B8B4FBF5A03613CBEC427</vt:lpwstr>
  </property>
  <property fmtid="{D5CDD505-2E9C-101B-9397-08002B2CF9AE}" pid="4" name="Order">
    <vt:r8>39800</vt:r8>
  </property>
  <property fmtid="{D5CDD505-2E9C-101B-9397-08002B2CF9AE}" pid="5" name="xd_Signature">
    <vt:bool>false</vt:bool>
  </property>
  <property fmtid="{D5CDD505-2E9C-101B-9397-08002B2CF9AE}" pid="6" name="Document Category">
    <vt:lpwstr>Tools and Templates</vt:lpwstr>
  </property>
  <property fmtid="{D5CDD505-2E9C-101B-9397-08002B2CF9AE}" pid="7" name="xd_ProgID">
    <vt:lpwstr/>
  </property>
  <property fmtid="{D5CDD505-2E9C-101B-9397-08002B2CF9AE}" pid="8" name="Evaluation phase">
    <vt:lpwstr>Phase 2</vt:lpwstr>
  </property>
  <property fmtid="{D5CDD505-2E9C-101B-9397-08002B2CF9AE}" pid="9" name="ComplianceAssetId">
    <vt:lpwstr/>
  </property>
  <property fmtid="{D5CDD505-2E9C-101B-9397-08002B2CF9AE}" pid="10" name="TemplateUrl">
    <vt:lpwstr/>
  </property>
  <property fmtid="{D5CDD505-2E9C-101B-9397-08002B2CF9AE}" pid="11" name="Internal/External">
    <vt:lpwstr>Internal</vt:lpwstr>
  </property>
  <property fmtid="{D5CDD505-2E9C-101B-9397-08002B2CF9AE}" pid="12" name="_ExtendedDescription">
    <vt:lpwstr/>
  </property>
  <property fmtid="{D5CDD505-2E9C-101B-9397-08002B2CF9AE}" pid="13" name="TriggerFlowInfo">
    <vt:lpwstr/>
  </property>
  <property fmtid="{D5CDD505-2E9C-101B-9397-08002B2CF9AE}" pid="14" name="Module">
    <vt:lpwstr>6. Evaluations</vt:lpwstr>
  </property>
</Properties>
</file>