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130D" w14:textId="4B4273D9" w:rsidR="004469E4" w:rsidRDefault="613A7A9E" w:rsidP="00F01B0C">
      <w:pPr>
        <w:shd w:val="clear" w:color="auto" w:fill="FBE4D5" w:themeFill="accent2" w:themeFillTint="33"/>
        <w:spacing w:after="0"/>
        <w:jc w:val="center"/>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TÉRMINOS DE REFERENCIA</w:t>
      </w:r>
    </w:p>
    <w:p w14:paraId="5846B1D1" w14:textId="28C8AB8B" w:rsidR="004469E4" w:rsidRDefault="613A7A9E" w:rsidP="00F01B0C">
      <w:pPr>
        <w:pBdr>
          <w:bottom w:val="single" w:sz="12" w:space="1" w:color="auto"/>
        </w:pBdr>
        <w:shd w:val="clear" w:color="auto" w:fill="FBE4D5" w:themeFill="accent2" w:themeFillTint="33"/>
        <w:spacing w:after="0"/>
        <w:jc w:val="center"/>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Contratación: Proveedor de Servicios Financieros (PSF)</w:t>
      </w:r>
    </w:p>
    <w:p w14:paraId="5A29CB12" w14:textId="6FFCBCAB" w:rsidR="00F01B0C" w:rsidRDefault="00F01B0C" w:rsidP="00F01B0C">
      <w:pPr>
        <w:jc w:val="center"/>
        <w:rPr>
          <w:rFonts w:ascii="Garamond" w:eastAsia="Garamond" w:hAnsi="Garamond" w:cs="Garamond"/>
          <w:color w:val="000000" w:themeColor="text1"/>
          <w:sz w:val="24"/>
          <w:szCs w:val="24"/>
        </w:rPr>
      </w:pPr>
    </w:p>
    <w:p w14:paraId="37EE5A47" w14:textId="4A4817CC"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Ubicación: Honduras  </w:t>
      </w:r>
    </w:p>
    <w:p w14:paraId="200B144B" w14:textId="60CFC180"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ANTECEDENTES </w:t>
      </w:r>
    </w:p>
    <w:p w14:paraId="277E0FD1" w14:textId="2F570DC1"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La población con necesidades de protección en Honduras enfrenta muchos retos para lograr establecerse en sus sitios de reubicación o reasentamiento. Una de las necesidades más fuertes a las que se enfrentan, tanto los desplazados internos como las Personas con Necesidad de Protección Internacional (PNPI) y la población retornada con necesidades de protección, es el acceso a medios de vida que garanticen el bienestar, la autosuficiencia e incrementen su resiliencia en la zona y país de destino o de residencia (comunidades de riesgo).  </w:t>
      </w:r>
    </w:p>
    <w:p w14:paraId="484CD624" w14:textId="0A75E7DA"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El Consejo Noruego para Refugiados (NRC) brinda asistencia a través de transferencias monetarias (especialmente efectivo) a personas desplazadas y con necesidades de protección, los flujos de atención pueden ser variables y ascender en el momento de una crisis, emergencia o desastre. </w:t>
      </w:r>
    </w:p>
    <w:p w14:paraId="3A652ECB" w14:textId="2594D488"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Es por esto que NRC se encuentra en proceso de contratar un PSF para proveer los servicios financieros con cobertura, capacidad, experiencia y eficacia para realizar transferencias monetarias en el marco de asistencia en efectivo multipropósito, a lo largo de 12 meses (preliminarmente) a aproximadamente 3,500-4,000 beneficiarios en todo el territorio de Honduras.    </w:t>
      </w:r>
    </w:p>
    <w:p w14:paraId="3691789F" w14:textId="67A05C6D"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6CC37F00" w14:textId="5745CD17"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OBJETIVOS Y ALCANCE DEL TRABAJO </w:t>
      </w:r>
    </w:p>
    <w:p w14:paraId="14A7F6CF" w14:textId="15F6924B"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Objetivos </w:t>
      </w:r>
    </w:p>
    <w:p w14:paraId="538244C6" w14:textId="5FFA2766"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Contratar un proveedor de servicios financieros que por un periodo de 12 meses realice la entrega aproximadamente de veinticinco a cuarenta millones de lempiras (L 25,000,000.00 a L 40,000,000.00) en concepto de transferencias monetarias en el marco de la asistencia en efectivo multipropósito a 3,500-4,000 beneficiarios en zonas urbanas y rurales de todo el territorio de Honduras. </w:t>
      </w:r>
    </w:p>
    <w:p w14:paraId="29BE78FE" w14:textId="6DCEF27D" w:rsidR="004469E4" w:rsidRDefault="669FDD1C" w:rsidP="040BFC35">
      <w:pPr>
        <w:jc w:val="both"/>
        <w:rPr>
          <w:rFonts w:ascii="Garamond" w:eastAsia="Garamond" w:hAnsi="Garamond" w:cs="Garamond"/>
          <w:b/>
          <w:bCs/>
          <w:color w:val="000000" w:themeColor="text1"/>
          <w:sz w:val="24"/>
          <w:szCs w:val="24"/>
          <w:lang w:val="es-ES"/>
        </w:rPr>
      </w:pPr>
      <w:r w:rsidRPr="040BFC35">
        <w:rPr>
          <w:rFonts w:ascii="Garamond" w:eastAsia="Garamond" w:hAnsi="Garamond" w:cs="Garamond"/>
          <w:b/>
          <w:bCs/>
          <w:color w:val="000000" w:themeColor="text1"/>
          <w:sz w:val="24"/>
          <w:szCs w:val="24"/>
          <w:lang w:val="es-ES"/>
        </w:rPr>
        <w:t>Alcance del Trabajo</w:t>
      </w:r>
    </w:p>
    <w:p w14:paraId="47A4E247" w14:textId="16E34901" w:rsidR="004469E4" w:rsidRDefault="43B91BDC" w:rsidP="040BFC35">
      <w:pPr>
        <w:jc w:val="both"/>
        <w:rPr>
          <w:rFonts w:ascii="Garamond" w:eastAsia="Garamond" w:hAnsi="Garamond" w:cs="Garamond"/>
          <w:color w:val="000000" w:themeColor="text1"/>
          <w:sz w:val="24"/>
          <w:szCs w:val="24"/>
          <w:lang w:val="es-ES"/>
        </w:rPr>
      </w:pPr>
      <w:r w:rsidRPr="040BFC35">
        <w:rPr>
          <w:rFonts w:ascii="Garamond" w:eastAsia="Garamond" w:hAnsi="Garamond" w:cs="Garamond"/>
          <w:color w:val="000000" w:themeColor="text1"/>
          <w:sz w:val="24"/>
          <w:szCs w:val="24"/>
          <w:lang w:val="es-ES"/>
        </w:rPr>
        <w:t xml:space="preserve">En coordinación con la Unidad de Cash &amp; </w:t>
      </w:r>
      <w:proofErr w:type="spellStart"/>
      <w:r w:rsidRPr="040BFC35">
        <w:rPr>
          <w:rFonts w:ascii="Garamond" w:eastAsia="Garamond" w:hAnsi="Garamond" w:cs="Garamond"/>
          <w:color w:val="000000" w:themeColor="text1"/>
          <w:sz w:val="24"/>
          <w:szCs w:val="24"/>
          <w:lang w:val="es-ES"/>
        </w:rPr>
        <w:t>Markets</w:t>
      </w:r>
      <w:proofErr w:type="spellEnd"/>
      <w:r w:rsidRPr="040BFC35">
        <w:rPr>
          <w:rFonts w:ascii="Garamond" w:eastAsia="Garamond" w:hAnsi="Garamond" w:cs="Garamond"/>
          <w:color w:val="000000" w:themeColor="text1"/>
          <w:sz w:val="24"/>
          <w:szCs w:val="24"/>
          <w:lang w:val="es-ES"/>
        </w:rPr>
        <w:t xml:space="preserve"> de NRC, el PSF realizará las gestiones interna</w:t>
      </w:r>
      <w:r w:rsidR="025E010E" w:rsidRPr="040BFC35">
        <w:rPr>
          <w:rFonts w:ascii="Garamond" w:eastAsia="Garamond" w:hAnsi="Garamond" w:cs="Garamond"/>
          <w:color w:val="000000" w:themeColor="text1"/>
          <w:sz w:val="24"/>
          <w:szCs w:val="24"/>
          <w:lang w:val="es-ES"/>
        </w:rPr>
        <w:t xml:space="preserve">s </w:t>
      </w:r>
      <w:r w:rsidR="60F15F65" w:rsidRPr="040BFC35">
        <w:rPr>
          <w:rFonts w:ascii="Garamond" w:eastAsia="Garamond" w:hAnsi="Garamond" w:cs="Garamond"/>
          <w:color w:val="000000" w:themeColor="text1"/>
          <w:sz w:val="24"/>
          <w:szCs w:val="24"/>
          <w:lang w:val="es-ES"/>
        </w:rPr>
        <w:t>necesarias para cumplir con las dispersi</w:t>
      </w:r>
      <w:r w:rsidR="00FD0323">
        <w:rPr>
          <w:rFonts w:ascii="Garamond" w:eastAsia="Garamond" w:hAnsi="Garamond" w:cs="Garamond"/>
          <w:color w:val="000000" w:themeColor="text1"/>
          <w:sz w:val="24"/>
          <w:szCs w:val="24"/>
          <w:lang w:val="es-ES"/>
        </w:rPr>
        <w:t>ones de transferencias monetaria</w:t>
      </w:r>
      <w:r w:rsidR="60F15F65" w:rsidRPr="040BFC35">
        <w:rPr>
          <w:rFonts w:ascii="Garamond" w:eastAsia="Garamond" w:hAnsi="Garamond" w:cs="Garamond"/>
          <w:color w:val="000000" w:themeColor="text1"/>
          <w:sz w:val="24"/>
          <w:szCs w:val="24"/>
          <w:lang w:val="es-ES"/>
        </w:rPr>
        <w:t>s con los mecanismos y frecuen</w:t>
      </w:r>
      <w:r w:rsidR="00FD0323">
        <w:rPr>
          <w:rFonts w:ascii="Garamond" w:eastAsia="Garamond" w:hAnsi="Garamond" w:cs="Garamond"/>
          <w:color w:val="000000" w:themeColor="text1"/>
          <w:sz w:val="24"/>
          <w:szCs w:val="24"/>
          <w:lang w:val="es-ES"/>
        </w:rPr>
        <w:t xml:space="preserve">cia definida y acordada con NRC. Los servicios son requeridos para cubrir todo el territorio de Honduras. </w:t>
      </w:r>
      <w:r w:rsidR="00FD0323" w:rsidRPr="00FD0323">
        <w:rPr>
          <w:rFonts w:ascii="Garamond" w:eastAsia="Garamond" w:hAnsi="Garamond" w:cs="Garamond"/>
          <w:color w:val="000000" w:themeColor="text1"/>
          <w:sz w:val="24"/>
          <w:szCs w:val="24"/>
          <w:lang w:val="es-ES"/>
        </w:rPr>
        <w:t>La frecuencia individual de las transferencias dependerá del perfil de las personas beneficiarias, en algunos casos serán transferencias únicas, mientras que en otros casos serán recurrentes a lo largo de varios meses (hasta 2 transferencias mensuales por beneficiario).</w:t>
      </w:r>
    </w:p>
    <w:p w14:paraId="28746FED" w14:textId="77777777" w:rsidR="00FD0323" w:rsidRDefault="00FD0323" w:rsidP="040BFC35">
      <w:pPr>
        <w:jc w:val="both"/>
        <w:rPr>
          <w:rFonts w:ascii="Garamond" w:eastAsia="Garamond" w:hAnsi="Garamond" w:cs="Garamond"/>
          <w:color w:val="000000" w:themeColor="text1"/>
          <w:sz w:val="24"/>
          <w:szCs w:val="24"/>
          <w:lang w:val="es-ES"/>
        </w:rPr>
      </w:pPr>
    </w:p>
    <w:p w14:paraId="0A7F680E" w14:textId="77777777" w:rsidR="00FD0323"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b/>
          <w:bCs/>
          <w:color w:val="000000" w:themeColor="text1"/>
          <w:sz w:val="24"/>
          <w:szCs w:val="24"/>
          <w:lang w:val="es-ES"/>
        </w:rPr>
        <w:t>DISPOSICIONES INSTITUCIONALES Y ORGANIZACIONALES </w:t>
      </w:r>
    </w:p>
    <w:p w14:paraId="305BD78E" w14:textId="10C5E30C" w:rsidR="004469E4" w:rsidRDefault="613A7A9E" w:rsidP="040BFC35">
      <w:pPr>
        <w:jc w:val="both"/>
        <w:rPr>
          <w:rFonts w:ascii="Garamond" w:eastAsia="Garamond" w:hAnsi="Garamond" w:cs="Garamond"/>
          <w:color w:val="000000" w:themeColor="text1"/>
          <w:sz w:val="24"/>
          <w:szCs w:val="24"/>
        </w:rPr>
      </w:pPr>
      <w:r w:rsidRPr="406C10A0">
        <w:rPr>
          <w:rFonts w:ascii="Garamond" w:eastAsia="Garamond" w:hAnsi="Garamond" w:cs="Garamond"/>
          <w:color w:val="000000" w:themeColor="text1"/>
          <w:sz w:val="24"/>
          <w:szCs w:val="24"/>
          <w:lang w:val="es-ES"/>
        </w:rPr>
        <w:lastRenderedPageBreak/>
        <w:t>El NRC poseerá los derechos de propiedad intelectual de toda la información sensible proporcionada al PSF en virtud del contrato. Por lo tanto, el o los PSF deben asegurarse de proveer garantía de confidencialidad al NRC.</w:t>
      </w:r>
    </w:p>
    <w:p w14:paraId="2A4847A9" w14:textId="077E58CC"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 </w:t>
      </w:r>
    </w:p>
    <w:p w14:paraId="6EFE3910" w14:textId="06BC197A"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Deberes del Proveedor de Servicios Financieros </w:t>
      </w:r>
    </w:p>
    <w:p w14:paraId="5004EC60" w14:textId="1620CB51"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83A166D" w14:textId="0CCF73C3"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i/>
          <w:iCs/>
          <w:color w:val="000000" w:themeColor="text1"/>
          <w:sz w:val="24"/>
          <w:szCs w:val="24"/>
          <w:lang w:val="es-ES"/>
        </w:rPr>
        <w:t>Algunas responsabilidades generales del PSF serán: </w:t>
      </w:r>
    </w:p>
    <w:p w14:paraId="7BBEEF03" w14:textId="73CED130"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Realizar las dispersiones de transferencias monetarias de acuerdo a las solicitudes del NRC. Estas transferencias podrán realizarse mediante diferentes mecanismos y modalidades, previamente definidas y acordadas entre NRC y el PSF. </w:t>
      </w:r>
    </w:p>
    <w:p w14:paraId="112EA005" w14:textId="31AE1B1E"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Presentar los reportes mensuales necesarios con información de los ‘’cash-</w:t>
      </w:r>
      <w:proofErr w:type="spellStart"/>
      <w:r w:rsidRPr="040BFC35">
        <w:rPr>
          <w:rFonts w:ascii="Garamond" w:eastAsia="Garamond" w:hAnsi="Garamond" w:cs="Garamond"/>
          <w:color w:val="000000" w:themeColor="text1"/>
          <w:sz w:val="24"/>
          <w:szCs w:val="24"/>
          <w:lang w:val="es-ES"/>
        </w:rPr>
        <w:t>out</w:t>
      </w:r>
      <w:proofErr w:type="spellEnd"/>
      <w:r w:rsidRPr="040BFC35">
        <w:rPr>
          <w:rFonts w:ascii="Garamond" w:eastAsia="Garamond" w:hAnsi="Garamond" w:cs="Garamond"/>
          <w:color w:val="000000" w:themeColor="text1"/>
          <w:sz w:val="24"/>
          <w:szCs w:val="24"/>
          <w:lang w:val="es-ES"/>
        </w:rPr>
        <w:t>'’ o retiros debidamente sellados y firmados. </w:t>
      </w:r>
    </w:p>
    <w:p w14:paraId="0C578F6C" w14:textId="0D399E05"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Brindar soporte técnico (tanto a NRC como a sus beneficiarios) de forma expedita, eficaz y eficientemente. </w:t>
      </w:r>
    </w:p>
    <w:p w14:paraId="54FE40D3" w14:textId="46D0CF15"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A2740D1" w14:textId="1238C7CB"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Los reportes deben presentarse en formato Portable </w:t>
      </w:r>
      <w:proofErr w:type="spellStart"/>
      <w:r w:rsidRPr="040BFC35">
        <w:rPr>
          <w:rFonts w:ascii="Garamond" w:eastAsia="Garamond" w:hAnsi="Garamond" w:cs="Garamond"/>
          <w:color w:val="000000" w:themeColor="text1"/>
          <w:sz w:val="24"/>
          <w:szCs w:val="24"/>
          <w:lang w:val="es-ES"/>
        </w:rPr>
        <w:t>Document</w:t>
      </w:r>
      <w:proofErr w:type="spellEnd"/>
      <w:r w:rsidRPr="040BFC35">
        <w:rPr>
          <w:rFonts w:ascii="Garamond" w:eastAsia="Garamond" w:hAnsi="Garamond" w:cs="Garamond"/>
          <w:color w:val="000000" w:themeColor="text1"/>
          <w:sz w:val="24"/>
          <w:szCs w:val="24"/>
          <w:lang w:val="es-ES"/>
        </w:rPr>
        <w:t> </w:t>
      </w:r>
      <w:proofErr w:type="spellStart"/>
      <w:r w:rsidRPr="040BFC35">
        <w:rPr>
          <w:rFonts w:ascii="Garamond" w:eastAsia="Garamond" w:hAnsi="Garamond" w:cs="Garamond"/>
          <w:color w:val="000000" w:themeColor="text1"/>
          <w:sz w:val="24"/>
          <w:szCs w:val="24"/>
          <w:lang w:val="es-ES"/>
        </w:rPr>
        <w:t>Format</w:t>
      </w:r>
      <w:proofErr w:type="spellEnd"/>
      <w:r w:rsidRPr="040BFC35">
        <w:rPr>
          <w:rFonts w:ascii="Garamond" w:eastAsia="Garamond" w:hAnsi="Garamond" w:cs="Garamond"/>
          <w:color w:val="000000" w:themeColor="text1"/>
          <w:sz w:val="24"/>
          <w:szCs w:val="24"/>
          <w:lang w:val="es-ES"/>
        </w:rPr>
        <w:t> (PDF) en castellano.  </w:t>
      </w:r>
    </w:p>
    <w:p w14:paraId="617F5CBF" w14:textId="591BCD77"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Todo lo que se envíe al NRC debe ser trabajo original del PSF. Cualquier plagio en cualquier forma, o cualquier otra violación de los derechos de propiedad intelectual, automáticamente descalificará al licitador de recibir cualquier pago adicional conforme al contrato suscrito por el NRC, y el NRC procurará recuperar los pagos ya realizados. </w:t>
      </w:r>
    </w:p>
    <w:p w14:paraId="00F97A5E" w14:textId="54C78B6B"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El PSF seguirá la guía de </w:t>
      </w:r>
      <w:hyperlink r:id="rId9">
        <w:r w:rsidRPr="040BFC35">
          <w:rPr>
            <w:rStyle w:val="Hipervnculo"/>
            <w:rFonts w:ascii="Garamond" w:eastAsia="Garamond" w:hAnsi="Garamond" w:cs="Garamond"/>
            <w:sz w:val="24"/>
            <w:szCs w:val="24"/>
            <w:lang w:val="es-ES"/>
          </w:rPr>
          <w:t>Investigación Ética con Niños</w:t>
        </w:r>
      </w:hyperlink>
      <w:r w:rsidRPr="040BFC35">
        <w:rPr>
          <w:rFonts w:ascii="Garamond" w:eastAsia="Garamond" w:hAnsi="Garamond" w:cs="Garamond"/>
          <w:color w:val="000000" w:themeColor="text1"/>
          <w:sz w:val="24"/>
          <w:szCs w:val="24"/>
          <w:lang w:val="es-ES"/>
        </w:rPr>
        <w:t> con respecto a la participación ética de los niños. Además, se informará plenamente a todos los participantes de estudios u otra interacción sobre la naturaleza y propósito de la interacción y su participación solicitada. Se debe obtener el consentimiento informado para cualquier fotografía, grabación de audio o vídeo, etc., de conformidad con la política de consentimiento del NRC. </w:t>
      </w:r>
    </w:p>
    <w:p w14:paraId="012D9A3C" w14:textId="52E95C01"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22116BD6" w14:textId="560F1C8F"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b/>
          <w:bCs/>
          <w:color w:val="000000" w:themeColor="text1"/>
          <w:sz w:val="24"/>
          <w:szCs w:val="24"/>
          <w:lang w:val="es-ES"/>
        </w:rPr>
        <w:t>Deberes del NRC </w:t>
      </w:r>
    </w:p>
    <w:p w14:paraId="7AEB1EBE" w14:textId="7C1D7885"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El NRC proveerá en tiempo y forma la información necesaria para llevar a cabo las transferencias, además notificará de los casos que requieran soporte técnico de forma inmediata. NRC cumplirá sin excepción las condiciones acordadas en el contrato de servicios, como ejecución de pagos al proveedor, etc. </w:t>
      </w:r>
    </w:p>
    <w:p w14:paraId="4937F9C3" w14:textId="32A11642"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CCD8B49" w14:textId="675ADC68"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CALENDARIO DE EJECUCION Y ESTIMACION DE INSUMOS</w:t>
      </w:r>
      <w:r w:rsidRPr="040BFC35">
        <w:rPr>
          <w:rFonts w:ascii="Garamond" w:eastAsia="Garamond" w:hAnsi="Garamond" w:cs="Garamond"/>
          <w:color w:val="000000" w:themeColor="text1"/>
          <w:sz w:val="24"/>
          <w:szCs w:val="24"/>
          <w:lang w:val="es-ES"/>
        </w:rPr>
        <w:t>  </w:t>
      </w:r>
    </w:p>
    <w:p w14:paraId="55C94F6E" w14:textId="1BDEB6B6"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tbl>
      <w:tblPr>
        <w:tblW w:w="0" w:type="auto"/>
        <w:tblInd w:w="105" w:type="dxa"/>
        <w:tblLayout w:type="fixed"/>
        <w:tblLook w:val="04A0" w:firstRow="1" w:lastRow="0" w:firstColumn="1" w:lastColumn="0" w:noHBand="0" w:noVBand="1"/>
      </w:tblPr>
      <w:tblGrid>
        <w:gridCol w:w="5550"/>
        <w:gridCol w:w="1920"/>
        <w:gridCol w:w="1455"/>
      </w:tblGrid>
      <w:tr w:rsidR="040BFC35" w14:paraId="31A94D42" w14:textId="77777777" w:rsidTr="406C10A0">
        <w:trPr>
          <w:trHeight w:val="615"/>
        </w:trPr>
        <w:tc>
          <w:tcPr>
            <w:tcW w:w="5550" w:type="dxa"/>
            <w:tcBorders>
              <w:top w:val="single" w:sz="6" w:space="0" w:color="auto"/>
              <w:left w:val="single" w:sz="6" w:space="0" w:color="auto"/>
              <w:bottom w:val="nil"/>
              <w:right w:val="single" w:sz="6" w:space="0" w:color="auto"/>
            </w:tcBorders>
          </w:tcPr>
          <w:p w14:paraId="385A1D0A" w14:textId="35ADAB94"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lastRenderedPageBreak/>
              <w:t> </w:t>
            </w:r>
          </w:p>
        </w:tc>
        <w:tc>
          <w:tcPr>
            <w:tcW w:w="1920" w:type="dxa"/>
            <w:tcBorders>
              <w:top w:val="single" w:sz="6" w:space="0" w:color="auto"/>
              <w:left w:val="single" w:sz="6" w:space="0" w:color="auto"/>
              <w:bottom w:val="single" w:sz="6" w:space="0" w:color="auto"/>
              <w:right w:val="single" w:sz="6" w:space="0" w:color="auto"/>
            </w:tcBorders>
            <w:shd w:val="clear" w:color="auto" w:fill="E5E5E5"/>
          </w:tcPr>
          <w:p w14:paraId="5C1E6273" w14:textId="3B2228DE"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w:t>
            </w:r>
          </w:p>
        </w:tc>
        <w:tc>
          <w:tcPr>
            <w:tcW w:w="1455" w:type="dxa"/>
            <w:tcBorders>
              <w:top w:val="single" w:sz="6" w:space="0" w:color="auto"/>
              <w:left w:val="single" w:sz="6" w:space="0" w:color="auto"/>
              <w:bottom w:val="nil"/>
              <w:right w:val="single" w:sz="6" w:space="0" w:color="auto"/>
            </w:tcBorders>
            <w:shd w:val="clear" w:color="auto" w:fill="E5E5E5"/>
          </w:tcPr>
          <w:p w14:paraId="1BABC79A" w14:textId="37EC9626"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HORA* </w:t>
            </w:r>
          </w:p>
        </w:tc>
      </w:tr>
      <w:tr w:rsidR="040BFC35" w14:paraId="0AF5E041" w14:textId="77777777" w:rsidTr="406C10A0">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0795AC7A" w14:textId="2E5D0783"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de Publicación </w:t>
            </w:r>
          </w:p>
        </w:tc>
        <w:tc>
          <w:tcPr>
            <w:tcW w:w="1920" w:type="dxa"/>
            <w:tcBorders>
              <w:top w:val="single" w:sz="6" w:space="0" w:color="auto"/>
              <w:left w:val="single" w:sz="6" w:space="0" w:color="auto"/>
              <w:bottom w:val="single" w:sz="6" w:space="0" w:color="auto"/>
              <w:right w:val="single" w:sz="6" w:space="0" w:color="auto"/>
            </w:tcBorders>
          </w:tcPr>
          <w:p w14:paraId="35F1D89E" w14:textId="3F28C34A" w:rsidR="040BFC35" w:rsidRDefault="1A5F1FDB" w:rsidP="00887450">
            <w:pPr>
              <w:jc w:val="both"/>
              <w:rPr>
                <w:rFonts w:ascii="Garamond" w:eastAsia="Garamond" w:hAnsi="Garamond" w:cs="Garamond"/>
                <w:sz w:val="24"/>
                <w:szCs w:val="24"/>
              </w:rPr>
            </w:pPr>
            <w:r w:rsidRPr="406C10A0">
              <w:rPr>
                <w:rFonts w:ascii="Garamond" w:eastAsia="Garamond" w:hAnsi="Garamond" w:cs="Garamond"/>
                <w:sz w:val="24"/>
                <w:szCs w:val="24"/>
                <w:lang w:val="es-ES"/>
              </w:rPr>
              <w:t> </w:t>
            </w:r>
            <w:r w:rsidR="00047F15">
              <w:rPr>
                <w:rFonts w:ascii="Garamond" w:eastAsia="Garamond" w:hAnsi="Garamond" w:cs="Garamond"/>
                <w:sz w:val="24"/>
                <w:szCs w:val="24"/>
                <w:lang w:val="es-ES"/>
              </w:rPr>
              <w:t>10</w:t>
            </w:r>
            <w:bookmarkStart w:id="0" w:name="_GoBack"/>
            <w:bookmarkEnd w:id="0"/>
            <w:r w:rsidR="00887450">
              <w:rPr>
                <w:rFonts w:ascii="Garamond" w:eastAsia="Garamond" w:hAnsi="Garamond" w:cs="Garamond"/>
                <w:sz w:val="24"/>
                <w:szCs w:val="24"/>
                <w:lang w:val="es-ES"/>
              </w:rPr>
              <w:t>/10</w:t>
            </w:r>
            <w:r w:rsidR="00FD0323" w:rsidRPr="406C10A0">
              <w:rPr>
                <w:rFonts w:ascii="Garamond" w:eastAsia="Garamond" w:hAnsi="Garamond" w:cs="Garamond"/>
                <w:sz w:val="24"/>
                <w:szCs w:val="24"/>
                <w:lang w:val="es-ES"/>
              </w:rPr>
              <w:t>/2021</w:t>
            </w:r>
          </w:p>
        </w:tc>
        <w:tc>
          <w:tcPr>
            <w:tcW w:w="1455" w:type="dxa"/>
            <w:tcBorders>
              <w:top w:val="single" w:sz="6" w:space="0" w:color="auto"/>
              <w:left w:val="single" w:sz="6" w:space="0" w:color="auto"/>
              <w:bottom w:val="single" w:sz="6" w:space="0" w:color="auto"/>
              <w:right w:val="single" w:sz="6" w:space="0" w:color="auto"/>
            </w:tcBorders>
          </w:tcPr>
          <w:p w14:paraId="47E4FEE3" w14:textId="02DD9C15"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p>
        </w:tc>
      </w:tr>
      <w:tr w:rsidR="040BFC35" w14:paraId="019AE176" w14:textId="77777777" w:rsidTr="406C10A0">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0C493B2D" w14:textId="3A385400"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Plazo para la realización de preguntas y aclaraciones a Consejo Noruego para Refugiados </w:t>
            </w:r>
          </w:p>
        </w:tc>
        <w:tc>
          <w:tcPr>
            <w:tcW w:w="1920" w:type="dxa"/>
            <w:tcBorders>
              <w:top w:val="single" w:sz="6" w:space="0" w:color="auto"/>
              <w:left w:val="single" w:sz="6" w:space="0" w:color="auto"/>
              <w:bottom w:val="single" w:sz="6" w:space="0" w:color="auto"/>
              <w:right w:val="single" w:sz="6" w:space="0" w:color="auto"/>
            </w:tcBorders>
          </w:tcPr>
          <w:p w14:paraId="2159ACD6" w14:textId="2D5565EC" w:rsidR="040BFC35" w:rsidRDefault="040BFC35" w:rsidP="00887450">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14/10</w:t>
            </w:r>
            <w:r w:rsidR="00FD0323">
              <w:rPr>
                <w:rFonts w:ascii="Garamond" w:eastAsia="Garamond" w:hAnsi="Garamond" w:cs="Garamond"/>
                <w:sz w:val="24"/>
                <w:szCs w:val="24"/>
                <w:lang w:val="es-ES"/>
              </w:rPr>
              <w:t>/2021</w:t>
            </w:r>
          </w:p>
        </w:tc>
        <w:tc>
          <w:tcPr>
            <w:tcW w:w="1455" w:type="dxa"/>
            <w:tcBorders>
              <w:top w:val="single" w:sz="6" w:space="0" w:color="auto"/>
              <w:left w:val="single" w:sz="6" w:space="0" w:color="auto"/>
              <w:bottom w:val="single" w:sz="6" w:space="0" w:color="auto"/>
              <w:right w:val="single" w:sz="6" w:space="0" w:color="auto"/>
            </w:tcBorders>
          </w:tcPr>
          <w:p w14:paraId="007F3879" w14:textId="0665CE7C"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17:00 horas </w:t>
            </w:r>
          </w:p>
        </w:tc>
      </w:tr>
      <w:tr w:rsidR="040BFC35" w14:paraId="1D88072E" w14:textId="77777777" w:rsidTr="406C10A0">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6C6AE0BE" w14:textId="1DD1FD4C" w:rsidR="040BFC35" w:rsidRDefault="040BFC35" w:rsidP="040BFC35">
            <w:pPr>
              <w:jc w:val="both"/>
              <w:rPr>
                <w:rFonts w:ascii="Calibri" w:eastAsia="Calibri" w:hAnsi="Calibri" w:cs="Calibri"/>
                <w:sz w:val="24"/>
                <w:szCs w:val="24"/>
              </w:rPr>
            </w:pPr>
            <w:r w:rsidRPr="040BFC35">
              <w:rPr>
                <w:rFonts w:ascii="Calibri" w:eastAsia="Calibri" w:hAnsi="Calibri" w:cs="Calibri"/>
                <w:sz w:val="24"/>
                <w:szCs w:val="24"/>
                <w:lang w:val="es-ES"/>
              </w:rPr>
              <w:t>Última fecha para las aclaraciones emitidas por Consejo Noruego para Refugiados </w:t>
            </w:r>
          </w:p>
        </w:tc>
        <w:tc>
          <w:tcPr>
            <w:tcW w:w="1920" w:type="dxa"/>
            <w:tcBorders>
              <w:top w:val="single" w:sz="6" w:space="0" w:color="auto"/>
              <w:left w:val="single" w:sz="6" w:space="0" w:color="auto"/>
              <w:bottom w:val="single" w:sz="6" w:space="0" w:color="auto"/>
              <w:right w:val="single" w:sz="6" w:space="0" w:color="auto"/>
            </w:tcBorders>
          </w:tcPr>
          <w:p w14:paraId="7AD0800E" w14:textId="66DFABE3" w:rsidR="040BFC35" w:rsidRDefault="040BFC35" w:rsidP="00887450">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18/10</w:t>
            </w:r>
            <w:r w:rsidR="00FD0323">
              <w:rPr>
                <w:rFonts w:ascii="Garamond" w:eastAsia="Garamond" w:hAnsi="Garamond" w:cs="Garamond"/>
                <w:sz w:val="24"/>
                <w:szCs w:val="24"/>
                <w:lang w:val="es-ES"/>
              </w:rPr>
              <w:t>/2021</w:t>
            </w:r>
          </w:p>
        </w:tc>
        <w:tc>
          <w:tcPr>
            <w:tcW w:w="1455" w:type="dxa"/>
            <w:tcBorders>
              <w:top w:val="single" w:sz="6" w:space="0" w:color="auto"/>
              <w:left w:val="single" w:sz="6" w:space="0" w:color="auto"/>
              <w:bottom w:val="single" w:sz="6" w:space="0" w:color="auto"/>
              <w:right w:val="single" w:sz="6" w:space="0" w:color="auto"/>
            </w:tcBorders>
          </w:tcPr>
          <w:p w14:paraId="60C2D263" w14:textId="1A5B1CF7"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16:00 horas </w:t>
            </w:r>
          </w:p>
        </w:tc>
      </w:tr>
      <w:tr w:rsidR="040BFC35" w14:paraId="350DEF52" w14:textId="77777777" w:rsidTr="406C10A0">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515657A1" w14:textId="734DBE7E"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límite de recepción de ofertas </w:t>
            </w:r>
          </w:p>
        </w:tc>
        <w:tc>
          <w:tcPr>
            <w:tcW w:w="1920" w:type="dxa"/>
            <w:tcBorders>
              <w:top w:val="single" w:sz="6" w:space="0" w:color="auto"/>
              <w:left w:val="single" w:sz="6" w:space="0" w:color="auto"/>
              <w:bottom w:val="single" w:sz="6" w:space="0" w:color="auto"/>
              <w:right w:val="single" w:sz="6" w:space="0" w:color="auto"/>
            </w:tcBorders>
          </w:tcPr>
          <w:p w14:paraId="661AC8F1" w14:textId="34FB250C"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3F5342">
              <w:rPr>
                <w:rFonts w:ascii="Garamond" w:eastAsia="Garamond" w:hAnsi="Garamond" w:cs="Garamond"/>
                <w:sz w:val="24"/>
                <w:szCs w:val="24"/>
                <w:lang w:val="es-ES"/>
              </w:rPr>
              <w:t>22</w:t>
            </w:r>
            <w:r w:rsidR="00887450">
              <w:rPr>
                <w:rFonts w:ascii="Garamond" w:eastAsia="Garamond" w:hAnsi="Garamond" w:cs="Garamond"/>
                <w:sz w:val="24"/>
                <w:szCs w:val="24"/>
                <w:lang w:val="es-ES"/>
              </w:rPr>
              <w:t>/10</w:t>
            </w:r>
            <w:r w:rsidR="00FD0323">
              <w:rPr>
                <w:rFonts w:ascii="Garamond" w:eastAsia="Garamond" w:hAnsi="Garamond" w:cs="Garamond"/>
                <w:sz w:val="24"/>
                <w:szCs w:val="24"/>
                <w:lang w:val="es-ES"/>
              </w:rPr>
              <w:t>/2021</w:t>
            </w:r>
          </w:p>
        </w:tc>
        <w:tc>
          <w:tcPr>
            <w:tcW w:w="1455" w:type="dxa"/>
            <w:tcBorders>
              <w:top w:val="single" w:sz="6" w:space="0" w:color="auto"/>
              <w:left w:val="single" w:sz="6" w:space="0" w:color="auto"/>
              <w:bottom w:val="single" w:sz="6" w:space="0" w:color="auto"/>
              <w:right w:val="single" w:sz="6" w:space="0" w:color="auto"/>
            </w:tcBorders>
          </w:tcPr>
          <w:p w14:paraId="32A0BFD2" w14:textId="4624CC0E"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16:00 horas </w:t>
            </w:r>
          </w:p>
        </w:tc>
      </w:tr>
      <w:tr w:rsidR="040BFC35" w14:paraId="19498964" w14:textId="77777777" w:rsidTr="406C10A0">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5C7067AC" w14:textId="2F0F65FE"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de revisión de las propuestas recibidas </w:t>
            </w:r>
          </w:p>
        </w:tc>
        <w:tc>
          <w:tcPr>
            <w:tcW w:w="1920" w:type="dxa"/>
            <w:tcBorders>
              <w:top w:val="single" w:sz="6" w:space="0" w:color="auto"/>
              <w:left w:val="single" w:sz="6" w:space="0" w:color="auto"/>
              <w:bottom w:val="single" w:sz="6" w:space="0" w:color="auto"/>
              <w:right w:val="single" w:sz="6" w:space="0" w:color="auto"/>
            </w:tcBorders>
          </w:tcPr>
          <w:p w14:paraId="5FC605DF" w14:textId="3A77831C" w:rsidR="040BFC35" w:rsidRDefault="040BFC35" w:rsidP="00887450">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22</w:t>
            </w:r>
            <w:r w:rsidR="00FD0323">
              <w:rPr>
                <w:rFonts w:ascii="Garamond" w:eastAsia="Garamond" w:hAnsi="Garamond" w:cs="Garamond"/>
                <w:sz w:val="24"/>
                <w:szCs w:val="24"/>
                <w:lang w:val="es-ES"/>
              </w:rPr>
              <w:t>/10/2021</w:t>
            </w:r>
          </w:p>
        </w:tc>
        <w:tc>
          <w:tcPr>
            <w:tcW w:w="1455" w:type="dxa"/>
            <w:tcBorders>
              <w:top w:val="single" w:sz="6" w:space="0" w:color="auto"/>
              <w:left w:val="single" w:sz="6" w:space="0" w:color="auto"/>
              <w:bottom w:val="single" w:sz="6" w:space="0" w:color="auto"/>
              <w:right w:val="single" w:sz="6" w:space="0" w:color="auto"/>
            </w:tcBorders>
          </w:tcPr>
          <w:p w14:paraId="7D5C883C" w14:textId="25D47CC4"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p>
        </w:tc>
      </w:tr>
      <w:tr w:rsidR="040BFC35" w14:paraId="22D5B61D" w14:textId="77777777" w:rsidTr="406C10A0">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656A7223" w14:textId="6550FD68"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de comunicación final a los oferentes </w:t>
            </w:r>
          </w:p>
        </w:tc>
        <w:tc>
          <w:tcPr>
            <w:tcW w:w="1920" w:type="dxa"/>
            <w:tcBorders>
              <w:top w:val="single" w:sz="6" w:space="0" w:color="auto"/>
              <w:left w:val="single" w:sz="6" w:space="0" w:color="auto"/>
              <w:bottom w:val="single" w:sz="6" w:space="0" w:color="auto"/>
              <w:right w:val="single" w:sz="6" w:space="0" w:color="auto"/>
            </w:tcBorders>
          </w:tcPr>
          <w:p w14:paraId="7D06A3FA" w14:textId="4C80F197"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27</w:t>
            </w:r>
            <w:r w:rsidR="00FD0323">
              <w:rPr>
                <w:rFonts w:ascii="Garamond" w:eastAsia="Garamond" w:hAnsi="Garamond" w:cs="Garamond"/>
                <w:sz w:val="24"/>
                <w:szCs w:val="24"/>
                <w:lang w:val="es-ES"/>
              </w:rPr>
              <w:t>/10/2021</w:t>
            </w:r>
          </w:p>
        </w:tc>
        <w:tc>
          <w:tcPr>
            <w:tcW w:w="1455" w:type="dxa"/>
            <w:tcBorders>
              <w:top w:val="single" w:sz="6" w:space="0" w:color="auto"/>
              <w:left w:val="single" w:sz="6" w:space="0" w:color="auto"/>
              <w:bottom w:val="single" w:sz="6" w:space="0" w:color="auto"/>
              <w:right w:val="single" w:sz="6" w:space="0" w:color="auto"/>
            </w:tcBorders>
          </w:tcPr>
          <w:p w14:paraId="7E15F797" w14:textId="64AE3272"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p>
        </w:tc>
      </w:tr>
      <w:tr w:rsidR="040BFC35" w14:paraId="28360928" w14:textId="77777777" w:rsidTr="406C10A0">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51D43F99" w14:textId="17DD4F97"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Fecha estimada de firma de contrato  </w:t>
            </w:r>
          </w:p>
        </w:tc>
        <w:tc>
          <w:tcPr>
            <w:tcW w:w="1920" w:type="dxa"/>
            <w:tcBorders>
              <w:top w:val="single" w:sz="6" w:space="0" w:color="auto"/>
              <w:left w:val="single" w:sz="6" w:space="0" w:color="auto"/>
              <w:bottom w:val="single" w:sz="6" w:space="0" w:color="auto"/>
              <w:right w:val="single" w:sz="6" w:space="0" w:color="auto"/>
            </w:tcBorders>
          </w:tcPr>
          <w:p w14:paraId="2F57CEB2" w14:textId="488444F9"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r w:rsidR="00887450">
              <w:rPr>
                <w:rFonts w:ascii="Garamond" w:eastAsia="Garamond" w:hAnsi="Garamond" w:cs="Garamond"/>
                <w:sz w:val="24"/>
                <w:szCs w:val="24"/>
                <w:lang w:val="es-ES"/>
              </w:rPr>
              <w:t>29</w:t>
            </w:r>
            <w:r w:rsidR="00FD0323">
              <w:rPr>
                <w:rFonts w:ascii="Garamond" w:eastAsia="Garamond" w:hAnsi="Garamond" w:cs="Garamond"/>
                <w:sz w:val="24"/>
                <w:szCs w:val="24"/>
                <w:lang w:val="es-ES"/>
              </w:rPr>
              <w:t>/10/2021</w:t>
            </w:r>
          </w:p>
        </w:tc>
        <w:tc>
          <w:tcPr>
            <w:tcW w:w="1455" w:type="dxa"/>
            <w:tcBorders>
              <w:top w:val="single" w:sz="6" w:space="0" w:color="auto"/>
              <w:left w:val="single" w:sz="6" w:space="0" w:color="auto"/>
              <w:bottom w:val="single" w:sz="6" w:space="0" w:color="auto"/>
              <w:right w:val="single" w:sz="6" w:space="0" w:color="auto"/>
            </w:tcBorders>
          </w:tcPr>
          <w:p w14:paraId="2ACC6789" w14:textId="629A0295" w:rsidR="040BFC35" w:rsidRDefault="040BFC35" w:rsidP="040BFC35">
            <w:pPr>
              <w:jc w:val="both"/>
              <w:rPr>
                <w:rFonts w:ascii="Garamond" w:eastAsia="Garamond" w:hAnsi="Garamond" w:cs="Garamond"/>
                <w:sz w:val="24"/>
                <w:szCs w:val="24"/>
              </w:rPr>
            </w:pPr>
            <w:r w:rsidRPr="040BFC35">
              <w:rPr>
                <w:rFonts w:ascii="Garamond" w:eastAsia="Garamond" w:hAnsi="Garamond" w:cs="Garamond"/>
                <w:sz w:val="24"/>
                <w:szCs w:val="24"/>
                <w:lang w:val="es-ES"/>
              </w:rPr>
              <w:t> </w:t>
            </w:r>
          </w:p>
        </w:tc>
      </w:tr>
    </w:tbl>
    <w:p w14:paraId="292968C0" w14:textId="7746D78E"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035B9EC4" w14:textId="054FCAEF"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126611C" w14:textId="06E91BAB"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CUALIFICACIONES DE LA PERSONA / EMPRESA  </w:t>
      </w:r>
    </w:p>
    <w:p w14:paraId="0E504B76" w14:textId="215895DB"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6138D430" w14:textId="7D320796" w:rsidR="004469E4" w:rsidRDefault="613A7A9E" w:rsidP="040BFC35">
      <w:pPr>
        <w:jc w:val="both"/>
        <w:rPr>
          <w:rFonts w:ascii="Garamond" w:eastAsia="Garamond" w:hAnsi="Garamond" w:cs="Garamond"/>
          <w:b/>
          <w:bCs/>
          <w:i/>
          <w:iCs/>
          <w:color w:val="000000" w:themeColor="text1"/>
          <w:sz w:val="24"/>
          <w:szCs w:val="24"/>
          <w:lang w:val="es-ES"/>
        </w:rPr>
      </w:pPr>
      <w:r w:rsidRPr="040BFC35">
        <w:rPr>
          <w:rFonts w:ascii="Garamond" w:eastAsia="Garamond" w:hAnsi="Garamond" w:cs="Garamond"/>
          <w:b/>
          <w:bCs/>
          <w:i/>
          <w:iCs/>
          <w:color w:val="000000" w:themeColor="text1"/>
          <w:sz w:val="24"/>
          <w:szCs w:val="24"/>
          <w:lang w:val="es-ES"/>
        </w:rPr>
        <w:t>Requerimientos </w:t>
      </w:r>
    </w:p>
    <w:p w14:paraId="035A00D4" w14:textId="2B7C58B0" w:rsidR="003E369D" w:rsidRPr="003E369D" w:rsidRDefault="003E369D" w:rsidP="040BFC35">
      <w:pPr>
        <w:jc w:val="both"/>
        <w:rPr>
          <w:rFonts w:ascii="Garamond" w:eastAsia="Garamond" w:hAnsi="Garamond" w:cs="Garamond"/>
          <w:sz w:val="24"/>
          <w:szCs w:val="24"/>
          <w:lang w:val="es-ES"/>
        </w:rPr>
      </w:pPr>
      <w:r w:rsidRPr="003E369D">
        <w:rPr>
          <w:rFonts w:ascii="Garamond" w:eastAsia="Garamond" w:hAnsi="Garamond" w:cs="Garamond"/>
          <w:sz w:val="24"/>
          <w:szCs w:val="24"/>
          <w:lang w:val="es-ES"/>
        </w:rPr>
        <w:t>Las ofertas serán evaluadas según estos criterios:</w:t>
      </w:r>
    </w:p>
    <w:tbl>
      <w:tblPr>
        <w:tblStyle w:val="Tablaconcuadrcula1"/>
        <w:tblW w:w="10060" w:type="dxa"/>
        <w:jc w:val="center"/>
        <w:tblLook w:val="04A0" w:firstRow="1" w:lastRow="0" w:firstColumn="1" w:lastColumn="0" w:noHBand="0" w:noVBand="1"/>
      </w:tblPr>
      <w:tblGrid>
        <w:gridCol w:w="7508"/>
        <w:gridCol w:w="2552"/>
      </w:tblGrid>
      <w:tr w:rsidR="003E369D" w:rsidRPr="003E369D" w14:paraId="36A10811" w14:textId="77777777" w:rsidTr="00FD524F">
        <w:trPr>
          <w:trHeight w:val="20"/>
          <w:jc w:val="center"/>
        </w:trPr>
        <w:tc>
          <w:tcPr>
            <w:tcW w:w="7508" w:type="dxa"/>
          </w:tcPr>
          <w:p w14:paraId="18952A5F"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SERVICIOS FINANCIEROS PRESTADOS Y COBERTURA </w:t>
            </w:r>
          </w:p>
        </w:tc>
        <w:tc>
          <w:tcPr>
            <w:tcW w:w="2552" w:type="dxa"/>
            <w:noWrap/>
          </w:tcPr>
          <w:p w14:paraId="2D87324A"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Valor porcentual por ítem</w:t>
            </w:r>
          </w:p>
        </w:tc>
      </w:tr>
      <w:tr w:rsidR="003E369D" w:rsidRPr="003E369D" w14:paraId="417446BA" w14:textId="77777777" w:rsidTr="00FD524F">
        <w:trPr>
          <w:trHeight w:val="20"/>
          <w:jc w:val="center"/>
        </w:trPr>
        <w:tc>
          <w:tcPr>
            <w:tcW w:w="7508" w:type="dxa"/>
          </w:tcPr>
          <w:p w14:paraId="5ABF3D14"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¿Qué servicios de transferencia de efectivo ofrecen? (tarjetas de débito, remesas, transferencias móviles, etc. Enliste todos los disponibles) </w:t>
            </w:r>
          </w:p>
        </w:tc>
        <w:tc>
          <w:tcPr>
            <w:tcW w:w="2552" w:type="dxa"/>
            <w:noWrap/>
          </w:tcPr>
          <w:p w14:paraId="75971E5A"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6C7977BE" w14:textId="77777777" w:rsidTr="00FD524F">
        <w:trPr>
          <w:trHeight w:val="20"/>
          <w:jc w:val="center"/>
        </w:trPr>
        <w:tc>
          <w:tcPr>
            <w:tcW w:w="7508" w:type="dxa"/>
            <w:hideMark/>
          </w:tcPr>
          <w:p w14:paraId="24CA13EE"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¿Cómo funciona el servicio? </w:t>
            </w:r>
          </w:p>
        </w:tc>
        <w:tc>
          <w:tcPr>
            <w:tcW w:w="2552" w:type="dxa"/>
            <w:noWrap/>
            <w:hideMark/>
          </w:tcPr>
          <w:p w14:paraId="776B5A70"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3A3EE34D" w14:textId="77777777" w:rsidTr="00FD524F">
        <w:trPr>
          <w:trHeight w:val="20"/>
          <w:jc w:val="center"/>
        </w:trPr>
        <w:tc>
          <w:tcPr>
            <w:tcW w:w="7508" w:type="dxa"/>
            <w:hideMark/>
          </w:tcPr>
          <w:p w14:paraId="0AF39403"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¿Es posible tener varios usuarios para la misma cuenta? </w:t>
            </w:r>
          </w:p>
        </w:tc>
        <w:tc>
          <w:tcPr>
            <w:tcW w:w="2552" w:type="dxa"/>
            <w:noWrap/>
            <w:hideMark/>
          </w:tcPr>
          <w:p w14:paraId="3D81DE6D"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1D9CDC4D" w14:textId="77777777" w:rsidTr="00FD524F">
        <w:trPr>
          <w:trHeight w:val="20"/>
          <w:jc w:val="center"/>
        </w:trPr>
        <w:tc>
          <w:tcPr>
            <w:tcW w:w="7508" w:type="dxa"/>
            <w:hideMark/>
          </w:tcPr>
          <w:p w14:paraId="19A2C370"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¿Qué áreas geográficas cubren estos servicios que enlistó anteriormente? </w:t>
            </w:r>
          </w:p>
        </w:tc>
        <w:tc>
          <w:tcPr>
            <w:tcW w:w="2552" w:type="dxa"/>
            <w:noWrap/>
            <w:hideMark/>
          </w:tcPr>
          <w:p w14:paraId="14305796"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7E8FBCC1" w14:textId="77777777" w:rsidTr="00FD524F">
        <w:trPr>
          <w:trHeight w:val="20"/>
          <w:jc w:val="center"/>
        </w:trPr>
        <w:tc>
          <w:tcPr>
            <w:tcW w:w="7508" w:type="dxa"/>
            <w:hideMark/>
          </w:tcPr>
          <w:p w14:paraId="25BC4267"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¿Cuántos agentes, puntos de venta o sucursales tiene y dónde están ubicados? </w:t>
            </w:r>
          </w:p>
        </w:tc>
        <w:tc>
          <w:tcPr>
            <w:tcW w:w="2552" w:type="dxa"/>
            <w:noWrap/>
            <w:hideMark/>
          </w:tcPr>
          <w:p w14:paraId="424C2762"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0730B043" w14:textId="77777777" w:rsidTr="00FD524F">
        <w:trPr>
          <w:trHeight w:val="20"/>
          <w:jc w:val="center"/>
        </w:trPr>
        <w:tc>
          <w:tcPr>
            <w:tcW w:w="7508" w:type="dxa"/>
            <w:hideMark/>
          </w:tcPr>
          <w:p w14:paraId="6B49365D"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¿Tienen sus agentes alguna formación/educación formal? </w:t>
            </w:r>
          </w:p>
        </w:tc>
        <w:tc>
          <w:tcPr>
            <w:tcW w:w="2552" w:type="dxa"/>
            <w:noWrap/>
            <w:hideMark/>
          </w:tcPr>
          <w:p w14:paraId="72B79088"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6B5F59E3" w14:textId="77777777" w:rsidTr="00FD524F">
        <w:trPr>
          <w:trHeight w:val="20"/>
          <w:jc w:val="center"/>
        </w:trPr>
        <w:tc>
          <w:tcPr>
            <w:tcW w:w="7508" w:type="dxa"/>
            <w:hideMark/>
          </w:tcPr>
          <w:p w14:paraId="71E6C1BE"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¿A qué tipo y a cuántos clientes llegan estos servicios? </w:t>
            </w:r>
          </w:p>
        </w:tc>
        <w:tc>
          <w:tcPr>
            <w:tcW w:w="2552" w:type="dxa"/>
            <w:noWrap/>
            <w:hideMark/>
          </w:tcPr>
          <w:p w14:paraId="3CA39A33"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26E5A059" w14:textId="77777777" w:rsidTr="00FD524F">
        <w:trPr>
          <w:trHeight w:val="20"/>
          <w:jc w:val="center"/>
        </w:trPr>
        <w:tc>
          <w:tcPr>
            <w:tcW w:w="7508" w:type="dxa"/>
            <w:hideMark/>
          </w:tcPr>
          <w:p w14:paraId="44083E9E"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Mecanismos de reporte, comunicación, plataformas de seguimiento</w:t>
            </w:r>
          </w:p>
        </w:tc>
        <w:tc>
          <w:tcPr>
            <w:tcW w:w="2552" w:type="dxa"/>
            <w:noWrap/>
            <w:hideMark/>
          </w:tcPr>
          <w:p w14:paraId="0B5715A2"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4.375%</w:t>
            </w:r>
          </w:p>
        </w:tc>
      </w:tr>
      <w:tr w:rsidR="003E369D" w:rsidRPr="003E369D" w14:paraId="4D37E1D3" w14:textId="77777777" w:rsidTr="00FD524F">
        <w:trPr>
          <w:trHeight w:val="20"/>
          <w:jc w:val="center"/>
        </w:trPr>
        <w:tc>
          <w:tcPr>
            <w:tcW w:w="7508" w:type="dxa"/>
            <w:noWrap/>
            <w:hideMark/>
          </w:tcPr>
          <w:p w14:paraId="52454E86" w14:textId="77777777" w:rsidR="003E369D" w:rsidRPr="003E369D" w:rsidRDefault="003E369D" w:rsidP="003E369D">
            <w:pPr>
              <w:tabs>
                <w:tab w:val="num" w:pos="900"/>
              </w:tabs>
              <w:jc w:val="both"/>
              <w:rPr>
                <w:rFonts w:ascii="Garamond" w:hAnsi="Garamond"/>
                <w:b/>
                <w:bCs/>
                <w:iCs/>
                <w:sz w:val="24"/>
                <w:szCs w:val="24"/>
                <w:lang w:val="es-ES_tradnl"/>
              </w:rPr>
            </w:pPr>
          </w:p>
        </w:tc>
        <w:tc>
          <w:tcPr>
            <w:tcW w:w="2552" w:type="dxa"/>
            <w:hideMark/>
          </w:tcPr>
          <w:p w14:paraId="47E23C80" w14:textId="77777777" w:rsidR="003E369D" w:rsidRPr="003E369D" w:rsidRDefault="003E369D" w:rsidP="003E369D">
            <w:pPr>
              <w:tabs>
                <w:tab w:val="num" w:pos="900"/>
              </w:tabs>
              <w:jc w:val="both"/>
              <w:rPr>
                <w:rFonts w:ascii="Garamond" w:hAnsi="Garamond"/>
                <w:b/>
                <w:bCs/>
                <w:iCs/>
                <w:sz w:val="24"/>
                <w:szCs w:val="24"/>
                <w:lang w:val="es-ES_tradnl"/>
              </w:rPr>
            </w:pPr>
            <w:r w:rsidRPr="003E369D">
              <w:rPr>
                <w:rFonts w:ascii="Garamond" w:hAnsi="Garamond"/>
                <w:b/>
                <w:bCs/>
                <w:iCs/>
                <w:sz w:val="24"/>
                <w:szCs w:val="24"/>
                <w:lang w:val="es-ES_tradnl"/>
              </w:rPr>
              <w:t>% TOTAL DE EVALUACIÓN PARA LA CATEGORÍA: 35%</w:t>
            </w:r>
          </w:p>
        </w:tc>
      </w:tr>
    </w:tbl>
    <w:p w14:paraId="73DF47FF" w14:textId="77777777" w:rsidR="003E369D" w:rsidRPr="003E369D" w:rsidRDefault="003E369D" w:rsidP="003E369D">
      <w:pPr>
        <w:tabs>
          <w:tab w:val="num" w:pos="900"/>
        </w:tabs>
        <w:spacing w:after="0" w:line="240" w:lineRule="auto"/>
        <w:jc w:val="both"/>
        <w:rPr>
          <w:rFonts w:ascii="Garamond" w:eastAsia="Times New Roman" w:hAnsi="Garamond" w:cs="Times New Roman"/>
          <w:sz w:val="24"/>
          <w:szCs w:val="24"/>
          <w:lang w:val="es-ES"/>
        </w:rPr>
      </w:pPr>
    </w:p>
    <w:tbl>
      <w:tblPr>
        <w:tblStyle w:val="Tablaconcuadrcula1"/>
        <w:tblW w:w="10025" w:type="dxa"/>
        <w:jc w:val="center"/>
        <w:tblLayout w:type="fixed"/>
        <w:tblLook w:val="04A0" w:firstRow="1" w:lastRow="0" w:firstColumn="1" w:lastColumn="0" w:noHBand="0" w:noVBand="1"/>
      </w:tblPr>
      <w:tblGrid>
        <w:gridCol w:w="7508"/>
        <w:gridCol w:w="2517"/>
      </w:tblGrid>
      <w:tr w:rsidR="003E369D" w:rsidRPr="003E369D" w14:paraId="28D1F904" w14:textId="77777777" w:rsidTr="00FD524F">
        <w:trPr>
          <w:trHeight w:val="20"/>
          <w:jc w:val="center"/>
        </w:trPr>
        <w:tc>
          <w:tcPr>
            <w:tcW w:w="7508" w:type="dxa"/>
          </w:tcPr>
          <w:p w14:paraId="57D9F480"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COSTOS</w:t>
            </w:r>
          </w:p>
        </w:tc>
        <w:tc>
          <w:tcPr>
            <w:tcW w:w="2517" w:type="dxa"/>
            <w:noWrap/>
          </w:tcPr>
          <w:p w14:paraId="5F85BDDF"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b/>
                <w:bCs/>
                <w:iCs/>
                <w:sz w:val="24"/>
                <w:szCs w:val="24"/>
                <w:lang w:val="es-ES_tradnl"/>
              </w:rPr>
              <w:t>Valor porcentual por ítem</w:t>
            </w:r>
          </w:p>
        </w:tc>
      </w:tr>
      <w:tr w:rsidR="003E369D" w:rsidRPr="003E369D" w14:paraId="5231DF12" w14:textId="77777777" w:rsidTr="00FD524F">
        <w:trPr>
          <w:trHeight w:val="20"/>
          <w:jc w:val="center"/>
        </w:trPr>
        <w:tc>
          <w:tcPr>
            <w:tcW w:w="7508" w:type="dxa"/>
          </w:tcPr>
          <w:p w14:paraId="1A4AE29A"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lastRenderedPageBreak/>
              <w:t>¿Cuáles son los costos asociados con los servicios de transferencia de efectivo (costos fijos, tarifas de transacción, otras tarifas, seguros, etc.)?</w:t>
            </w:r>
            <w:r w:rsidRPr="003E369D">
              <w:rPr>
                <w:rFonts w:ascii="Garamond" w:hAnsi="Garamond"/>
                <w:sz w:val="24"/>
                <w:szCs w:val="24"/>
                <w:lang w:val="es-ES_tradnl"/>
              </w:rPr>
              <w:t> </w:t>
            </w:r>
          </w:p>
        </w:tc>
        <w:tc>
          <w:tcPr>
            <w:tcW w:w="2517" w:type="dxa"/>
            <w:noWrap/>
          </w:tcPr>
          <w:p w14:paraId="45E3E0BF"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26EA398D" w14:textId="77777777" w:rsidTr="00FD524F">
        <w:trPr>
          <w:trHeight w:val="20"/>
          <w:jc w:val="center"/>
        </w:trPr>
        <w:tc>
          <w:tcPr>
            <w:tcW w:w="7508" w:type="dxa"/>
            <w:hideMark/>
          </w:tcPr>
          <w:p w14:paraId="5E478DA7"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¿Serían diferentes estos costos si estos servicios se ofrecieran en áreas remotas o con problemas de seguridad?</w:t>
            </w:r>
            <w:r w:rsidRPr="003E369D">
              <w:rPr>
                <w:rFonts w:ascii="Garamond" w:hAnsi="Garamond"/>
                <w:sz w:val="24"/>
                <w:szCs w:val="24"/>
                <w:lang w:val="es-ES_tradnl"/>
              </w:rPr>
              <w:t> </w:t>
            </w:r>
          </w:p>
        </w:tc>
        <w:tc>
          <w:tcPr>
            <w:tcW w:w="2517" w:type="dxa"/>
            <w:noWrap/>
            <w:hideMark/>
          </w:tcPr>
          <w:p w14:paraId="7A1230E2"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2331BEBE" w14:textId="77777777" w:rsidTr="00FD524F">
        <w:trPr>
          <w:trHeight w:val="20"/>
          <w:jc w:val="center"/>
        </w:trPr>
        <w:tc>
          <w:tcPr>
            <w:tcW w:w="7508" w:type="dxa"/>
            <w:hideMark/>
          </w:tcPr>
          <w:p w14:paraId="02AE9BFC"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¿Qué ahorro de costes por transacción ofrece para sumas mayores o un mayor número de destinatarios de pago?</w:t>
            </w:r>
            <w:r w:rsidRPr="003E369D">
              <w:rPr>
                <w:rFonts w:ascii="Garamond" w:hAnsi="Garamond"/>
                <w:sz w:val="24"/>
                <w:szCs w:val="24"/>
                <w:lang w:val="es-ES_tradnl"/>
              </w:rPr>
              <w:t> </w:t>
            </w:r>
          </w:p>
        </w:tc>
        <w:tc>
          <w:tcPr>
            <w:tcW w:w="2517" w:type="dxa"/>
            <w:noWrap/>
            <w:hideMark/>
          </w:tcPr>
          <w:p w14:paraId="7FA2CA24"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50A3A553" w14:textId="77777777" w:rsidTr="00FD524F">
        <w:trPr>
          <w:trHeight w:val="20"/>
          <w:jc w:val="center"/>
        </w:trPr>
        <w:tc>
          <w:tcPr>
            <w:tcW w:w="7508" w:type="dxa"/>
            <w:hideMark/>
          </w:tcPr>
          <w:p w14:paraId="466F4C93"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¿Cuánto es el costo por tarjeta o medio de pago ofertado? </w:t>
            </w:r>
            <w:r w:rsidRPr="003E369D">
              <w:rPr>
                <w:rFonts w:ascii="Garamond" w:hAnsi="Garamond"/>
                <w:sz w:val="24"/>
                <w:szCs w:val="24"/>
                <w:lang w:val="es-ES_tradnl"/>
              </w:rPr>
              <w:t> </w:t>
            </w:r>
          </w:p>
        </w:tc>
        <w:tc>
          <w:tcPr>
            <w:tcW w:w="2517" w:type="dxa"/>
            <w:noWrap/>
            <w:hideMark/>
          </w:tcPr>
          <w:p w14:paraId="36D97D2B"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7966A8F1" w14:textId="77777777" w:rsidTr="00FD524F">
        <w:trPr>
          <w:trHeight w:val="20"/>
          <w:jc w:val="center"/>
        </w:trPr>
        <w:tc>
          <w:tcPr>
            <w:tcW w:w="7508" w:type="dxa"/>
            <w:hideMark/>
          </w:tcPr>
          <w:p w14:paraId="310A3EAA"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¿Cuánto es el costo por transferencia, desde su plataforma de pago hacia el beneficiario? </w:t>
            </w:r>
            <w:r w:rsidRPr="003E369D">
              <w:rPr>
                <w:rFonts w:ascii="Garamond" w:hAnsi="Garamond"/>
                <w:sz w:val="24"/>
                <w:szCs w:val="24"/>
                <w:lang w:val="es-ES_tradnl"/>
              </w:rPr>
              <w:t> </w:t>
            </w:r>
          </w:p>
        </w:tc>
        <w:tc>
          <w:tcPr>
            <w:tcW w:w="2517" w:type="dxa"/>
            <w:noWrap/>
            <w:hideMark/>
          </w:tcPr>
          <w:p w14:paraId="7112CD9B"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15ED9C4C" w14:textId="77777777" w:rsidTr="00FD524F">
        <w:trPr>
          <w:trHeight w:val="20"/>
          <w:jc w:val="center"/>
        </w:trPr>
        <w:tc>
          <w:tcPr>
            <w:tcW w:w="7508" w:type="dxa"/>
            <w:hideMark/>
          </w:tcPr>
          <w:p w14:paraId="726C2CA5"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¿Cuántos retiros gratuitos por tarjeta/cuenta?</w:t>
            </w:r>
            <w:r w:rsidRPr="003E369D">
              <w:rPr>
                <w:rFonts w:ascii="Garamond" w:hAnsi="Garamond"/>
                <w:sz w:val="24"/>
                <w:szCs w:val="24"/>
                <w:lang w:val="es-ES_tradnl"/>
              </w:rPr>
              <w:t> </w:t>
            </w:r>
          </w:p>
        </w:tc>
        <w:tc>
          <w:tcPr>
            <w:tcW w:w="2517" w:type="dxa"/>
            <w:noWrap/>
            <w:hideMark/>
          </w:tcPr>
          <w:p w14:paraId="3AF9A2F6"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700FD7A4" w14:textId="77777777" w:rsidTr="00FD524F">
        <w:trPr>
          <w:trHeight w:val="20"/>
          <w:jc w:val="center"/>
        </w:trPr>
        <w:tc>
          <w:tcPr>
            <w:tcW w:w="7508" w:type="dxa"/>
            <w:hideMark/>
          </w:tcPr>
          <w:p w14:paraId="5791DCC9"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¿Cuál es el costo una vez superado los retiros gratuitos?</w:t>
            </w:r>
            <w:r w:rsidRPr="003E369D">
              <w:rPr>
                <w:rFonts w:ascii="Garamond" w:hAnsi="Garamond"/>
                <w:sz w:val="24"/>
                <w:szCs w:val="24"/>
                <w:lang w:val="es-ES_tradnl"/>
              </w:rPr>
              <w:t> </w:t>
            </w:r>
          </w:p>
        </w:tc>
        <w:tc>
          <w:tcPr>
            <w:tcW w:w="2517" w:type="dxa"/>
            <w:noWrap/>
            <w:hideMark/>
          </w:tcPr>
          <w:p w14:paraId="11CFE84F"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2A8C3D27" w14:textId="77777777" w:rsidTr="00FD524F">
        <w:trPr>
          <w:trHeight w:val="20"/>
          <w:jc w:val="center"/>
        </w:trPr>
        <w:tc>
          <w:tcPr>
            <w:tcW w:w="7508" w:type="dxa"/>
            <w:hideMark/>
          </w:tcPr>
          <w:p w14:paraId="2AD0B095"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bCs/>
                <w:sz w:val="24"/>
                <w:szCs w:val="24"/>
                <w:lang w:val="es-ES_tradnl"/>
              </w:rPr>
              <w:t>¿Ha realizado análisis de riesgos financieros para experiencias similares?</w:t>
            </w:r>
          </w:p>
        </w:tc>
        <w:tc>
          <w:tcPr>
            <w:tcW w:w="2517" w:type="dxa"/>
            <w:noWrap/>
            <w:hideMark/>
          </w:tcPr>
          <w:p w14:paraId="2312FD4D"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sz w:val="24"/>
                <w:szCs w:val="24"/>
                <w:lang w:val="es-ES_tradnl"/>
              </w:rPr>
              <w:t>3.125%</w:t>
            </w:r>
          </w:p>
        </w:tc>
      </w:tr>
      <w:tr w:rsidR="003E369D" w:rsidRPr="003E369D" w14:paraId="250FC149" w14:textId="77777777" w:rsidTr="00FD524F">
        <w:trPr>
          <w:trHeight w:val="20"/>
          <w:jc w:val="center"/>
        </w:trPr>
        <w:tc>
          <w:tcPr>
            <w:tcW w:w="7508" w:type="dxa"/>
            <w:noWrap/>
            <w:hideMark/>
          </w:tcPr>
          <w:p w14:paraId="6112D443" w14:textId="77777777" w:rsidR="003E369D" w:rsidRPr="003E369D" w:rsidRDefault="003E369D" w:rsidP="003E369D">
            <w:pPr>
              <w:autoSpaceDE w:val="0"/>
              <w:autoSpaceDN w:val="0"/>
              <w:adjustRightInd w:val="0"/>
              <w:ind w:left="1800"/>
              <w:jc w:val="both"/>
              <w:rPr>
                <w:rFonts w:ascii="Garamond" w:hAnsi="Garamond"/>
                <w:sz w:val="24"/>
                <w:szCs w:val="24"/>
                <w:lang w:val="es-ES_tradnl"/>
              </w:rPr>
            </w:pPr>
          </w:p>
        </w:tc>
        <w:tc>
          <w:tcPr>
            <w:tcW w:w="2517" w:type="dxa"/>
            <w:hideMark/>
          </w:tcPr>
          <w:p w14:paraId="2A65F90A" w14:textId="77777777" w:rsidR="003E369D" w:rsidRPr="003E369D" w:rsidRDefault="003E369D" w:rsidP="003E369D">
            <w:pPr>
              <w:autoSpaceDE w:val="0"/>
              <w:autoSpaceDN w:val="0"/>
              <w:adjustRightInd w:val="0"/>
              <w:rPr>
                <w:rFonts w:ascii="Garamond" w:hAnsi="Garamond"/>
                <w:b/>
                <w:bCs/>
                <w:sz w:val="24"/>
                <w:szCs w:val="24"/>
                <w:lang w:val="es-ES_tradnl"/>
              </w:rPr>
            </w:pPr>
            <w:r w:rsidRPr="003E369D">
              <w:rPr>
                <w:rFonts w:ascii="Garamond" w:hAnsi="Garamond"/>
                <w:b/>
                <w:bCs/>
                <w:sz w:val="24"/>
                <w:szCs w:val="24"/>
                <w:lang w:val="es-ES_tradnl"/>
              </w:rPr>
              <w:t>% TOTAL DE EVALUACIÓN PARA LA CATEGORÍA: 25%</w:t>
            </w:r>
          </w:p>
        </w:tc>
      </w:tr>
    </w:tbl>
    <w:p w14:paraId="6876E063" w14:textId="77777777" w:rsidR="003E369D" w:rsidRPr="003E369D" w:rsidRDefault="003E369D" w:rsidP="003E369D">
      <w:pPr>
        <w:autoSpaceDE w:val="0"/>
        <w:autoSpaceDN w:val="0"/>
        <w:adjustRightInd w:val="0"/>
        <w:spacing w:after="0" w:line="240" w:lineRule="auto"/>
        <w:ind w:left="1800"/>
        <w:jc w:val="both"/>
        <w:rPr>
          <w:rFonts w:ascii="Garamond" w:eastAsia="Times New Roman" w:hAnsi="Garamond" w:cs="Times New Roman"/>
          <w:sz w:val="24"/>
          <w:szCs w:val="24"/>
          <w:lang w:val="es-ES"/>
        </w:rPr>
      </w:pPr>
    </w:p>
    <w:tbl>
      <w:tblPr>
        <w:tblStyle w:val="Tablaconcuadrcula1"/>
        <w:tblW w:w="10025" w:type="dxa"/>
        <w:jc w:val="center"/>
        <w:tblLayout w:type="fixed"/>
        <w:tblLook w:val="04A0" w:firstRow="1" w:lastRow="0" w:firstColumn="1" w:lastColumn="0" w:noHBand="0" w:noVBand="1"/>
      </w:tblPr>
      <w:tblGrid>
        <w:gridCol w:w="7508"/>
        <w:gridCol w:w="2517"/>
      </w:tblGrid>
      <w:tr w:rsidR="003E369D" w:rsidRPr="003E369D" w14:paraId="135A7D8B" w14:textId="77777777" w:rsidTr="00FD524F">
        <w:trPr>
          <w:trHeight w:val="20"/>
          <w:jc w:val="center"/>
        </w:trPr>
        <w:tc>
          <w:tcPr>
            <w:tcW w:w="7508" w:type="dxa"/>
          </w:tcPr>
          <w:p w14:paraId="338B321F"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sz w:val="24"/>
                <w:szCs w:val="24"/>
                <w:lang w:val="es-ES"/>
              </w:rPr>
              <w:t>EXPERIENCIA Y CAPACIDAD </w:t>
            </w:r>
          </w:p>
        </w:tc>
        <w:tc>
          <w:tcPr>
            <w:tcW w:w="2517" w:type="dxa"/>
            <w:noWrap/>
          </w:tcPr>
          <w:p w14:paraId="7E0EA846"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b/>
                <w:bCs/>
                <w:iCs/>
                <w:sz w:val="24"/>
                <w:szCs w:val="24"/>
                <w:lang w:val="es-ES_tradnl"/>
              </w:rPr>
              <w:t>Valor porcentual por ítem</w:t>
            </w:r>
          </w:p>
        </w:tc>
      </w:tr>
      <w:tr w:rsidR="003E369D" w:rsidRPr="003E369D" w14:paraId="35F2FBC2" w14:textId="77777777" w:rsidTr="00FD524F">
        <w:trPr>
          <w:trHeight w:val="20"/>
          <w:jc w:val="center"/>
        </w:trPr>
        <w:tc>
          <w:tcPr>
            <w:tcW w:w="75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EF792"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¿Ha trabajado alguna vez en asociación con actores humanitarios o con el gobierno para ofrecer servicios de transferencia de efectivo a poblaciones afectadas o vulnerables? En caso afirmativo, describa su experiencia. (con quién, llegando a cuántos beneficiarios en qué período de tiempo, importes transferidos, volumen total de transacciones, etc.)</w:t>
            </w:r>
            <w:r w:rsidRPr="003E369D">
              <w:rPr>
                <w:rFonts w:ascii="Garamond" w:hAnsi="Garamond" w:cs="Calibri"/>
                <w:color w:val="000000"/>
                <w:sz w:val="24"/>
                <w:szCs w:val="24"/>
                <w:lang w:val="es-ES_tradnl"/>
              </w:rPr>
              <w:t> </w:t>
            </w:r>
          </w:p>
        </w:tc>
        <w:tc>
          <w:tcPr>
            <w:tcW w:w="2517" w:type="dxa"/>
            <w:noWrap/>
            <w:vAlign w:val="bottom"/>
          </w:tcPr>
          <w:p w14:paraId="34BC46C0"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7D0CE74A"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45B10A4F"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 es su capacidad para ampliar los servicios de transferencia de efectivo a 4,000-6,000 en Honduras en un plazo de mínimo de 12 meses, primera transferencia al primer grupo de familias después de un mes desde el inicio del convenio</w:t>
            </w:r>
            <w:r w:rsidRPr="003E369D">
              <w:rPr>
                <w:rFonts w:ascii="Calibri" w:hAnsi="Calibri" w:cs="Calibri"/>
                <w:b/>
                <w:bCs/>
                <w:color w:val="000000"/>
                <w:sz w:val="24"/>
                <w:szCs w:val="24"/>
                <w:lang w:val="es-ES_tradnl"/>
              </w:rPr>
              <w:t>?</w:t>
            </w:r>
            <w:r w:rsidRPr="003E369D">
              <w:rPr>
                <w:rFonts w:ascii="Calibri" w:hAnsi="Calibri" w:cs="Calibri"/>
                <w:color w:val="000000"/>
                <w:sz w:val="24"/>
                <w:szCs w:val="24"/>
                <w:lang w:val="es-ES_tradnl"/>
              </w:rPr>
              <w:t> </w:t>
            </w:r>
          </w:p>
        </w:tc>
        <w:tc>
          <w:tcPr>
            <w:tcW w:w="2517" w:type="dxa"/>
            <w:noWrap/>
            <w:vAlign w:val="bottom"/>
            <w:hideMark/>
          </w:tcPr>
          <w:p w14:paraId="33E54175"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61C5472D"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7311EE27"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¿Tiene suficiente liquidez para entregar dinero en efectivo a 4,000-6,000 beneficiarios dentro del plazo establecido mencionado anteriormente?</w:t>
            </w:r>
            <w:r w:rsidRPr="003E369D">
              <w:rPr>
                <w:rFonts w:ascii="Garamond" w:hAnsi="Garamond" w:cs="Calibri"/>
                <w:color w:val="000000"/>
                <w:sz w:val="24"/>
                <w:szCs w:val="24"/>
                <w:lang w:val="es-ES_tradnl"/>
              </w:rPr>
              <w:t> </w:t>
            </w:r>
          </w:p>
        </w:tc>
        <w:tc>
          <w:tcPr>
            <w:tcW w:w="2517" w:type="dxa"/>
            <w:noWrap/>
            <w:vAlign w:val="bottom"/>
            <w:hideMark/>
          </w:tcPr>
          <w:p w14:paraId="11EA3A25"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6F2FADD4"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684869DA"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¿Qué factores podrían afectar a su liquidez y cómo podría superar el problema?</w:t>
            </w:r>
            <w:r w:rsidRPr="003E369D">
              <w:rPr>
                <w:rFonts w:ascii="Garamond" w:hAnsi="Garamond" w:cs="Calibri"/>
                <w:color w:val="000000"/>
                <w:sz w:val="24"/>
                <w:szCs w:val="24"/>
                <w:lang w:val="es-ES_tradnl"/>
              </w:rPr>
              <w:t> </w:t>
            </w:r>
          </w:p>
        </w:tc>
        <w:tc>
          <w:tcPr>
            <w:tcW w:w="2517" w:type="dxa"/>
            <w:noWrap/>
            <w:vAlign w:val="bottom"/>
            <w:hideMark/>
          </w:tcPr>
          <w:p w14:paraId="3D11CE9A"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57672AFC"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132C8D96"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¿Se necesitaría algún tipo de apoyo (financiero, recursos humanos, hardware, etc.) para conseguirlo? Si es así, ¿qué tipo de apoyo?</w:t>
            </w:r>
            <w:r w:rsidRPr="003E369D">
              <w:rPr>
                <w:rFonts w:ascii="Garamond" w:hAnsi="Garamond" w:cs="Calibri"/>
                <w:color w:val="000000"/>
                <w:sz w:val="24"/>
                <w:szCs w:val="24"/>
                <w:lang w:val="es-ES_tradnl"/>
              </w:rPr>
              <w:t> </w:t>
            </w:r>
          </w:p>
        </w:tc>
        <w:tc>
          <w:tcPr>
            <w:tcW w:w="2517" w:type="dxa"/>
            <w:noWrap/>
            <w:vAlign w:val="bottom"/>
            <w:hideMark/>
          </w:tcPr>
          <w:p w14:paraId="2F4078CD"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61DE60FC"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2BE8EF92"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 es su capacidad para proporcionar apoyo técnico (línea directa, personal, etc.)?</w:t>
            </w:r>
            <w:r w:rsidRPr="003E369D">
              <w:rPr>
                <w:rFonts w:ascii="Garamond" w:hAnsi="Garamond" w:cs="Calibri"/>
                <w:color w:val="000000"/>
                <w:sz w:val="24"/>
                <w:szCs w:val="24"/>
                <w:lang w:val="es-ES_tradnl"/>
              </w:rPr>
              <w:t> </w:t>
            </w:r>
          </w:p>
        </w:tc>
        <w:tc>
          <w:tcPr>
            <w:tcW w:w="2517" w:type="dxa"/>
            <w:noWrap/>
            <w:vAlign w:val="bottom"/>
            <w:hideMark/>
          </w:tcPr>
          <w:p w14:paraId="223B8EB4"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1691EB73" w14:textId="77777777" w:rsidTr="00FD524F">
        <w:trPr>
          <w:trHeight w:val="20"/>
          <w:jc w:val="center"/>
        </w:trPr>
        <w:tc>
          <w:tcPr>
            <w:tcW w:w="7508" w:type="dxa"/>
            <w:tcBorders>
              <w:top w:val="nil"/>
              <w:left w:val="single" w:sz="4" w:space="0" w:color="000000"/>
              <w:bottom w:val="nil"/>
              <w:right w:val="single" w:sz="8" w:space="0" w:color="000000"/>
            </w:tcBorders>
            <w:shd w:val="clear" w:color="auto" w:fill="auto"/>
            <w:vAlign w:val="center"/>
            <w:hideMark/>
          </w:tcPr>
          <w:p w14:paraId="2B3B9C55"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¿Qué documentos (carnés de identidad) y habilidades (alfabetización, familiaridad con la tecnología) se necesitan de los clientes para permitir el desembolso de efectivo?</w:t>
            </w:r>
            <w:r w:rsidRPr="003E369D">
              <w:rPr>
                <w:rFonts w:ascii="Garamond" w:hAnsi="Garamond" w:cs="Calibri"/>
                <w:color w:val="000000"/>
                <w:sz w:val="24"/>
                <w:szCs w:val="24"/>
                <w:lang w:val="es-ES_tradnl"/>
              </w:rPr>
              <w:t> </w:t>
            </w:r>
          </w:p>
        </w:tc>
        <w:tc>
          <w:tcPr>
            <w:tcW w:w="2517" w:type="dxa"/>
            <w:noWrap/>
            <w:vAlign w:val="bottom"/>
            <w:hideMark/>
          </w:tcPr>
          <w:p w14:paraId="28E93B3A"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3CC7AE04" w14:textId="77777777" w:rsidTr="00FD524F">
        <w:trPr>
          <w:trHeight w:val="20"/>
          <w:jc w:val="center"/>
        </w:trPr>
        <w:tc>
          <w:tcPr>
            <w:tcW w:w="75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026A46"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En caso de que se necesitara la identificación del beneficiario, pero el beneficiario no la posea, ¿cuál sería la solución?</w:t>
            </w:r>
            <w:r w:rsidRPr="003E369D">
              <w:rPr>
                <w:rFonts w:ascii="Garamond" w:hAnsi="Garamond" w:cs="Calibri"/>
                <w:color w:val="000000"/>
                <w:sz w:val="24"/>
                <w:szCs w:val="24"/>
                <w:lang w:val="es-ES_tradnl"/>
              </w:rPr>
              <w:t> </w:t>
            </w:r>
          </w:p>
        </w:tc>
        <w:tc>
          <w:tcPr>
            <w:tcW w:w="2517" w:type="dxa"/>
            <w:noWrap/>
            <w:vAlign w:val="bottom"/>
            <w:hideMark/>
          </w:tcPr>
          <w:p w14:paraId="32B3F4EB"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2.5%</w:t>
            </w:r>
          </w:p>
        </w:tc>
      </w:tr>
      <w:tr w:rsidR="003E369D" w:rsidRPr="003E369D" w14:paraId="3289E231" w14:textId="77777777" w:rsidTr="00FD524F">
        <w:trPr>
          <w:trHeight w:val="20"/>
          <w:jc w:val="center"/>
        </w:trPr>
        <w:tc>
          <w:tcPr>
            <w:tcW w:w="7508" w:type="dxa"/>
            <w:noWrap/>
            <w:hideMark/>
          </w:tcPr>
          <w:p w14:paraId="536BB6B4" w14:textId="77777777" w:rsidR="003E369D" w:rsidRPr="003E369D" w:rsidRDefault="003E369D" w:rsidP="003E369D">
            <w:pPr>
              <w:autoSpaceDE w:val="0"/>
              <w:autoSpaceDN w:val="0"/>
              <w:adjustRightInd w:val="0"/>
              <w:ind w:left="1800"/>
              <w:jc w:val="both"/>
              <w:rPr>
                <w:rFonts w:ascii="Garamond" w:hAnsi="Garamond"/>
                <w:sz w:val="24"/>
                <w:szCs w:val="24"/>
                <w:lang w:val="es-ES_tradnl"/>
              </w:rPr>
            </w:pPr>
          </w:p>
        </w:tc>
        <w:tc>
          <w:tcPr>
            <w:tcW w:w="2517" w:type="dxa"/>
            <w:vAlign w:val="center"/>
            <w:hideMark/>
          </w:tcPr>
          <w:p w14:paraId="664CFCC4" w14:textId="77777777" w:rsidR="003E369D" w:rsidRPr="003E369D" w:rsidRDefault="003E369D" w:rsidP="003E369D">
            <w:pPr>
              <w:autoSpaceDE w:val="0"/>
              <w:autoSpaceDN w:val="0"/>
              <w:adjustRightInd w:val="0"/>
              <w:rPr>
                <w:rFonts w:ascii="Garamond" w:hAnsi="Garamond"/>
                <w:b/>
                <w:bCs/>
                <w:sz w:val="24"/>
                <w:szCs w:val="24"/>
                <w:lang w:val="es-ES_tradnl"/>
              </w:rPr>
            </w:pPr>
            <w:r w:rsidRPr="003E369D">
              <w:rPr>
                <w:rFonts w:ascii="Garamond" w:hAnsi="Garamond" w:cs="Calibri"/>
                <w:b/>
                <w:bCs/>
                <w:sz w:val="28"/>
                <w:szCs w:val="28"/>
                <w:lang w:val="es-ES_tradnl"/>
              </w:rPr>
              <w:t xml:space="preserve">% TOTAL DE EVALUACIÓN PARA LA </w:t>
            </w:r>
            <w:r w:rsidRPr="003E369D">
              <w:rPr>
                <w:rFonts w:ascii="Garamond" w:hAnsi="Garamond" w:cs="Calibri"/>
                <w:b/>
                <w:bCs/>
                <w:sz w:val="28"/>
                <w:szCs w:val="28"/>
                <w:lang w:val="es-ES_tradnl"/>
              </w:rPr>
              <w:lastRenderedPageBreak/>
              <w:t>CATEGORÍA: 20%</w:t>
            </w:r>
          </w:p>
        </w:tc>
      </w:tr>
    </w:tbl>
    <w:p w14:paraId="6EB7365C" w14:textId="77777777" w:rsidR="003E369D" w:rsidRPr="003E369D" w:rsidRDefault="003E369D" w:rsidP="003E369D">
      <w:pPr>
        <w:spacing w:after="0" w:line="240" w:lineRule="auto"/>
        <w:jc w:val="both"/>
        <w:rPr>
          <w:rFonts w:ascii="Garamond" w:eastAsia="Times New Roman" w:hAnsi="Garamond" w:cs="Times New Roman"/>
          <w:sz w:val="24"/>
          <w:szCs w:val="24"/>
          <w:lang w:val="es-ES"/>
        </w:rPr>
      </w:pPr>
    </w:p>
    <w:tbl>
      <w:tblPr>
        <w:tblStyle w:val="Tablaconcuadrcula1"/>
        <w:tblW w:w="10025" w:type="dxa"/>
        <w:jc w:val="center"/>
        <w:tblLayout w:type="fixed"/>
        <w:tblLook w:val="04A0" w:firstRow="1" w:lastRow="0" w:firstColumn="1" w:lastColumn="0" w:noHBand="0" w:noVBand="1"/>
      </w:tblPr>
      <w:tblGrid>
        <w:gridCol w:w="7508"/>
        <w:gridCol w:w="2517"/>
      </w:tblGrid>
      <w:tr w:rsidR="003E369D" w:rsidRPr="003E369D" w14:paraId="12629BF6" w14:textId="77777777" w:rsidTr="00FD524F">
        <w:trPr>
          <w:trHeight w:val="20"/>
          <w:jc w:val="center"/>
        </w:trPr>
        <w:tc>
          <w:tcPr>
            <w:tcW w:w="7508" w:type="dxa"/>
          </w:tcPr>
          <w:p w14:paraId="05AD48FB"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b/>
                <w:sz w:val="24"/>
                <w:szCs w:val="24"/>
                <w:lang w:val="es-ES"/>
              </w:rPr>
              <w:t>REQUISITOS LEGALES Y SEGURIDAD </w:t>
            </w:r>
          </w:p>
        </w:tc>
        <w:tc>
          <w:tcPr>
            <w:tcW w:w="2517" w:type="dxa"/>
            <w:noWrap/>
          </w:tcPr>
          <w:p w14:paraId="63D58BD7"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Garamond" w:hAnsi="Garamond"/>
                <w:b/>
                <w:bCs/>
                <w:iCs/>
                <w:sz w:val="24"/>
                <w:szCs w:val="24"/>
                <w:lang w:val="es-ES_tradnl"/>
              </w:rPr>
              <w:t>Valor porcentual por ítem</w:t>
            </w:r>
          </w:p>
        </w:tc>
      </w:tr>
      <w:tr w:rsidR="003E369D" w:rsidRPr="003E369D" w14:paraId="679F2E22" w14:textId="77777777" w:rsidTr="00FD524F">
        <w:trPr>
          <w:trHeight w:val="20"/>
          <w:jc w:val="center"/>
        </w:trPr>
        <w:tc>
          <w:tcPr>
            <w:tcW w:w="7508" w:type="dxa"/>
            <w:tcBorders>
              <w:top w:val="nil"/>
              <w:left w:val="single" w:sz="8" w:space="0" w:color="000000"/>
              <w:bottom w:val="single" w:sz="8" w:space="0" w:color="000000"/>
              <w:right w:val="nil"/>
            </w:tcBorders>
            <w:shd w:val="clear" w:color="auto" w:fill="auto"/>
            <w:vAlign w:val="center"/>
          </w:tcPr>
          <w:p w14:paraId="6C05F293"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 es su situación legal financiera?</w:t>
            </w:r>
            <w:r w:rsidRPr="003E369D">
              <w:rPr>
                <w:rFonts w:ascii="Garamond" w:hAnsi="Garamond" w:cs="Calibri"/>
                <w:color w:val="000000"/>
                <w:sz w:val="24"/>
                <w:szCs w:val="24"/>
                <w:lang w:val="es-ES_tradnl"/>
              </w:rPr>
              <w:t> </w:t>
            </w:r>
          </w:p>
        </w:tc>
        <w:tc>
          <w:tcPr>
            <w:tcW w:w="2517" w:type="dxa"/>
            <w:noWrap/>
            <w:vAlign w:val="bottom"/>
          </w:tcPr>
          <w:p w14:paraId="3B37D2CF"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2.00%</w:t>
            </w:r>
          </w:p>
        </w:tc>
      </w:tr>
      <w:tr w:rsidR="003E369D" w:rsidRPr="003E369D" w14:paraId="5FDC2695"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60B9AD82"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¿Cuáles son las leyes nacionales y las políticas gubernamentales que regulan los servicios de transferencia de efectivo para su empresa</w:t>
            </w:r>
            <w:r w:rsidRPr="003E369D">
              <w:rPr>
                <w:rFonts w:ascii="Calibri" w:hAnsi="Calibri" w:cs="Calibri"/>
                <w:b/>
                <w:bCs/>
                <w:color w:val="000000"/>
                <w:sz w:val="24"/>
                <w:szCs w:val="24"/>
                <w:lang w:val="es-ES_tradnl"/>
              </w:rPr>
              <w:t>?</w:t>
            </w:r>
            <w:r w:rsidRPr="003E369D">
              <w:rPr>
                <w:rFonts w:ascii="Calibri" w:hAnsi="Calibri" w:cs="Calibri"/>
                <w:color w:val="000000"/>
                <w:sz w:val="24"/>
                <w:szCs w:val="24"/>
                <w:lang w:val="es-ES_tradnl"/>
              </w:rPr>
              <w:t> </w:t>
            </w:r>
          </w:p>
        </w:tc>
        <w:tc>
          <w:tcPr>
            <w:tcW w:w="2517" w:type="dxa"/>
            <w:noWrap/>
            <w:vAlign w:val="bottom"/>
            <w:hideMark/>
          </w:tcPr>
          <w:p w14:paraId="4E42484A"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2.00%</w:t>
            </w:r>
          </w:p>
        </w:tc>
      </w:tr>
      <w:tr w:rsidR="003E369D" w:rsidRPr="003E369D" w14:paraId="176B34BA"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1BC10AF5"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¿Cuáles son las leyes de protección de datos y las políticas gubernamentales a las que se atiene su empresa? ¿Cómo se garantiza, en la práctica, la protección de los datos?</w:t>
            </w:r>
            <w:r w:rsidRPr="003E369D">
              <w:rPr>
                <w:rFonts w:ascii="Garamond" w:hAnsi="Garamond" w:cs="Calibri"/>
                <w:color w:val="000000"/>
                <w:sz w:val="24"/>
                <w:szCs w:val="24"/>
                <w:lang w:val="es-ES_tradnl"/>
              </w:rPr>
              <w:t> </w:t>
            </w:r>
          </w:p>
        </w:tc>
        <w:tc>
          <w:tcPr>
            <w:tcW w:w="2517" w:type="dxa"/>
            <w:noWrap/>
            <w:vAlign w:val="bottom"/>
            <w:hideMark/>
          </w:tcPr>
          <w:p w14:paraId="57CE10E6"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4.00%</w:t>
            </w:r>
          </w:p>
        </w:tc>
      </w:tr>
      <w:tr w:rsidR="003E369D" w:rsidRPr="003E369D" w14:paraId="12839EE4"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06D29000"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¿Qué medidas de seguridad podría establecer para garantizar la seguridad de los clientes en zonas remotas?</w:t>
            </w:r>
            <w:r w:rsidRPr="003E369D">
              <w:rPr>
                <w:rFonts w:ascii="Garamond" w:hAnsi="Garamond" w:cs="Calibri"/>
                <w:color w:val="000000"/>
                <w:sz w:val="24"/>
                <w:szCs w:val="24"/>
                <w:lang w:val="es-ES_tradnl"/>
              </w:rPr>
              <w:t> </w:t>
            </w:r>
          </w:p>
        </w:tc>
        <w:tc>
          <w:tcPr>
            <w:tcW w:w="2517" w:type="dxa"/>
            <w:noWrap/>
            <w:vAlign w:val="bottom"/>
            <w:hideMark/>
          </w:tcPr>
          <w:p w14:paraId="56EB0DF7"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3.00%</w:t>
            </w:r>
          </w:p>
        </w:tc>
      </w:tr>
      <w:tr w:rsidR="003E369D" w:rsidRPr="003E369D" w14:paraId="60CE02F5"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5E73425B"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 xml:space="preserve">Medidas de seguridad adoptadas por la entidad para garantizar la seguridad del sistema y trazabilidad de las operaciones realizadas. </w:t>
            </w:r>
          </w:p>
        </w:tc>
        <w:tc>
          <w:tcPr>
            <w:tcW w:w="2517" w:type="dxa"/>
            <w:noWrap/>
            <w:vAlign w:val="bottom"/>
            <w:hideMark/>
          </w:tcPr>
          <w:p w14:paraId="06C57960"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3.00%</w:t>
            </w:r>
          </w:p>
        </w:tc>
      </w:tr>
      <w:tr w:rsidR="003E369D" w:rsidRPr="003E369D" w14:paraId="54DCADA6" w14:textId="77777777" w:rsidTr="00FD524F">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5A545BDA"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Garamond" w:hAnsi="Garamond" w:cs="Calibri"/>
                <w:b/>
                <w:bCs/>
                <w:color w:val="000000"/>
                <w:sz w:val="24"/>
                <w:szCs w:val="24"/>
                <w:lang w:val="es-ES_tradnl"/>
              </w:rPr>
              <w:t>¿Qué tipo identificación exige para poder entregar el efectivo a personas migrantes?</w:t>
            </w:r>
            <w:r w:rsidRPr="003E369D">
              <w:rPr>
                <w:rFonts w:ascii="Garamond" w:hAnsi="Garamond" w:cs="Calibri"/>
                <w:color w:val="000000"/>
                <w:sz w:val="24"/>
                <w:szCs w:val="24"/>
                <w:lang w:val="es-ES_tradnl"/>
              </w:rPr>
              <w:t> </w:t>
            </w:r>
          </w:p>
        </w:tc>
        <w:tc>
          <w:tcPr>
            <w:tcW w:w="2517" w:type="dxa"/>
            <w:noWrap/>
            <w:vAlign w:val="bottom"/>
            <w:hideMark/>
          </w:tcPr>
          <w:p w14:paraId="715494C8"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3.00%</w:t>
            </w:r>
          </w:p>
        </w:tc>
      </w:tr>
      <w:tr w:rsidR="003E369D" w:rsidRPr="003E369D" w14:paraId="4DD932BC" w14:textId="77777777" w:rsidTr="00FD524F">
        <w:trPr>
          <w:trHeight w:val="20"/>
          <w:jc w:val="center"/>
        </w:trPr>
        <w:tc>
          <w:tcPr>
            <w:tcW w:w="7508" w:type="dxa"/>
            <w:tcBorders>
              <w:top w:val="nil"/>
              <w:left w:val="single" w:sz="4" w:space="0" w:color="000000"/>
              <w:bottom w:val="single" w:sz="4" w:space="0" w:color="000000"/>
              <w:right w:val="single" w:sz="8" w:space="0" w:color="000000"/>
            </w:tcBorders>
            <w:shd w:val="clear" w:color="auto" w:fill="auto"/>
            <w:vAlign w:val="center"/>
            <w:hideMark/>
          </w:tcPr>
          <w:p w14:paraId="30FE8FD9" w14:textId="77777777" w:rsidR="003E369D" w:rsidRPr="003E369D" w:rsidRDefault="003E369D" w:rsidP="003E369D">
            <w:pPr>
              <w:autoSpaceDE w:val="0"/>
              <w:autoSpaceDN w:val="0"/>
              <w:adjustRightInd w:val="0"/>
              <w:jc w:val="both"/>
              <w:rPr>
                <w:rFonts w:ascii="Garamond" w:hAnsi="Garamond"/>
                <w:b/>
                <w:bCs/>
                <w:sz w:val="24"/>
                <w:szCs w:val="24"/>
                <w:lang w:val="es-ES_tradnl"/>
              </w:rPr>
            </w:pPr>
            <w:r w:rsidRPr="003E369D">
              <w:rPr>
                <w:rFonts w:ascii="Calibri" w:hAnsi="Calibri" w:cs="Calibri"/>
                <w:b/>
                <w:bCs/>
                <w:color w:val="000000"/>
                <w:sz w:val="24"/>
                <w:szCs w:val="24"/>
                <w:lang w:val="es-ES_tradnl"/>
              </w:rPr>
              <w:t>¿</w:t>
            </w:r>
            <w:r w:rsidRPr="003E369D">
              <w:rPr>
                <w:rFonts w:ascii="Garamond" w:hAnsi="Garamond" w:cs="Calibri"/>
                <w:b/>
                <w:bCs/>
                <w:color w:val="000000"/>
                <w:sz w:val="24"/>
                <w:szCs w:val="24"/>
                <w:lang w:val="es-ES_tradnl"/>
              </w:rPr>
              <w:t>Qué alternativa de transferencia de efectivo ofrece, para personas irregulares en el País, es decir sin ningún tipo de identificación?</w:t>
            </w:r>
            <w:r w:rsidRPr="003E369D">
              <w:rPr>
                <w:rFonts w:ascii="Garamond" w:hAnsi="Garamond" w:cs="Calibri"/>
                <w:color w:val="000000"/>
                <w:sz w:val="24"/>
                <w:szCs w:val="24"/>
                <w:lang w:val="es-ES_tradnl"/>
              </w:rPr>
              <w:t> </w:t>
            </w:r>
          </w:p>
        </w:tc>
        <w:tc>
          <w:tcPr>
            <w:tcW w:w="2517" w:type="dxa"/>
            <w:noWrap/>
            <w:vAlign w:val="bottom"/>
            <w:hideMark/>
          </w:tcPr>
          <w:p w14:paraId="30E149CE" w14:textId="77777777" w:rsidR="003E369D" w:rsidRPr="003E369D" w:rsidRDefault="003E369D" w:rsidP="003E369D">
            <w:pPr>
              <w:autoSpaceDE w:val="0"/>
              <w:autoSpaceDN w:val="0"/>
              <w:adjustRightInd w:val="0"/>
              <w:jc w:val="both"/>
              <w:rPr>
                <w:rFonts w:ascii="Garamond" w:hAnsi="Garamond"/>
                <w:sz w:val="24"/>
                <w:szCs w:val="24"/>
                <w:lang w:val="es-ES_tradnl"/>
              </w:rPr>
            </w:pPr>
            <w:r w:rsidRPr="003E369D">
              <w:rPr>
                <w:rFonts w:ascii="Calibri" w:hAnsi="Calibri" w:cs="Calibri"/>
                <w:color w:val="000000"/>
                <w:lang w:val="es-ES_tradnl"/>
              </w:rPr>
              <w:t>3.00%</w:t>
            </w:r>
          </w:p>
        </w:tc>
      </w:tr>
      <w:tr w:rsidR="003E369D" w:rsidRPr="003E369D" w14:paraId="23ABDA61" w14:textId="77777777" w:rsidTr="00FD524F">
        <w:trPr>
          <w:trHeight w:val="20"/>
          <w:jc w:val="center"/>
        </w:trPr>
        <w:tc>
          <w:tcPr>
            <w:tcW w:w="7508" w:type="dxa"/>
            <w:noWrap/>
            <w:hideMark/>
          </w:tcPr>
          <w:p w14:paraId="207C3A67" w14:textId="77777777" w:rsidR="003E369D" w:rsidRPr="003E369D" w:rsidRDefault="003E369D" w:rsidP="003E369D">
            <w:pPr>
              <w:autoSpaceDE w:val="0"/>
              <w:autoSpaceDN w:val="0"/>
              <w:adjustRightInd w:val="0"/>
              <w:ind w:left="1800"/>
              <w:jc w:val="both"/>
              <w:rPr>
                <w:rFonts w:ascii="Garamond" w:hAnsi="Garamond"/>
                <w:sz w:val="24"/>
                <w:szCs w:val="24"/>
                <w:lang w:val="es-ES_tradnl"/>
              </w:rPr>
            </w:pPr>
          </w:p>
        </w:tc>
        <w:tc>
          <w:tcPr>
            <w:tcW w:w="2517" w:type="dxa"/>
            <w:vAlign w:val="center"/>
            <w:hideMark/>
          </w:tcPr>
          <w:p w14:paraId="58D94EAB" w14:textId="77777777" w:rsidR="003E369D" w:rsidRPr="003E369D" w:rsidRDefault="003E369D" w:rsidP="003E369D">
            <w:pPr>
              <w:autoSpaceDE w:val="0"/>
              <w:autoSpaceDN w:val="0"/>
              <w:adjustRightInd w:val="0"/>
              <w:rPr>
                <w:rFonts w:ascii="Garamond" w:hAnsi="Garamond"/>
                <w:b/>
                <w:bCs/>
                <w:sz w:val="24"/>
                <w:szCs w:val="24"/>
                <w:lang w:val="es-ES_tradnl"/>
              </w:rPr>
            </w:pPr>
            <w:r w:rsidRPr="003E369D">
              <w:rPr>
                <w:rFonts w:ascii="Garamond" w:hAnsi="Garamond" w:cs="Calibri"/>
                <w:b/>
                <w:bCs/>
                <w:sz w:val="28"/>
                <w:szCs w:val="28"/>
                <w:lang w:val="es-ES_tradnl"/>
              </w:rPr>
              <w:t>% TOTAL DE EVALUACIÓN PARA LA CATEGORÍA: 20%</w:t>
            </w:r>
          </w:p>
        </w:tc>
      </w:tr>
    </w:tbl>
    <w:p w14:paraId="3EDD7E19" w14:textId="6D8BDCCA"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63E5B666" w14:textId="2193BC7B"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DURACIÓN </w:t>
      </w:r>
    </w:p>
    <w:p w14:paraId="266CF39B" w14:textId="0FEC51E2" w:rsidR="004469E4" w:rsidRDefault="613A7A9E" w:rsidP="040BFC35">
      <w:pPr>
        <w:jc w:val="both"/>
        <w:rPr>
          <w:rFonts w:ascii="Garamond" w:eastAsia="Garamond" w:hAnsi="Garamond" w:cs="Garamond"/>
          <w:color w:val="000000" w:themeColor="text1"/>
          <w:sz w:val="24"/>
          <w:szCs w:val="24"/>
        </w:rPr>
      </w:pPr>
      <w:r w:rsidRPr="1FBFC0F2">
        <w:rPr>
          <w:rFonts w:ascii="Garamond" w:eastAsia="Garamond" w:hAnsi="Garamond" w:cs="Garamond"/>
          <w:color w:val="000000" w:themeColor="text1"/>
          <w:sz w:val="24"/>
          <w:szCs w:val="24"/>
          <w:lang w:val="es-ES"/>
        </w:rPr>
        <w:t xml:space="preserve">El contrato tendrá una duración </w:t>
      </w:r>
      <w:r w:rsidR="0F643BD0" w:rsidRPr="1FBFC0F2">
        <w:rPr>
          <w:rFonts w:ascii="Garamond" w:eastAsia="Garamond" w:hAnsi="Garamond" w:cs="Garamond"/>
          <w:color w:val="000000" w:themeColor="text1"/>
          <w:sz w:val="24"/>
          <w:szCs w:val="24"/>
          <w:lang w:val="es-ES"/>
        </w:rPr>
        <w:t xml:space="preserve">inicial </w:t>
      </w:r>
      <w:r w:rsidRPr="1FBFC0F2">
        <w:rPr>
          <w:rFonts w:ascii="Garamond" w:eastAsia="Garamond" w:hAnsi="Garamond" w:cs="Garamond"/>
          <w:color w:val="000000" w:themeColor="text1"/>
          <w:sz w:val="24"/>
          <w:szCs w:val="24"/>
          <w:lang w:val="es-ES"/>
        </w:rPr>
        <w:t>de doce (12) meses</w:t>
      </w:r>
      <w:r w:rsidR="00945C31" w:rsidRPr="1FBFC0F2">
        <w:rPr>
          <w:rFonts w:ascii="Garamond" w:eastAsia="Garamond" w:hAnsi="Garamond" w:cs="Garamond"/>
          <w:color w:val="000000" w:themeColor="text1"/>
          <w:sz w:val="24"/>
          <w:szCs w:val="24"/>
          <w:lang w:val="es-ES"/>
        </w:rPr>
        <w:t>. Finalizado este período se evaluará la calidad de los servicios prestados para firmar una extensión del contrato.</w:t>
      </w:r>
    </w:p>
    <w:p w14:paraId="2B9F0DE8" w14:textId="26FFE7DC"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01B951AA" w14:textId="1221C55F"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w:t>
      </w:r>
      <w:r w:rsidRPr="040BFC35">
        <w:rPr>
          <w:rFonts w:ascii="Garamond" w:eastAsia="Garamond" w:hAnsi="Garamond" w:cs="Garamond"/>
          <w:b/>
          <w:bCs/>
          <w:color w:val="000000" w:themeColor="text1"/>
          <w:sz w:val="24"/>
          <w:szCs w:val="24"/>
          <w:lang w:val="es-ES"/>
        </w:rPr>
        <w:t>FORMA DE PAGO</w:t>
      </w:r>
      <w:r w:rsidRPr="040BFC35">
        <w:rPr>
          <w:rFonts w:ascii="Garamond" w:eastAsia="Garamond" w:hAnsi="Garamond" w:cs="Garamond"/>
          <w:color w:val="000000" w:themeColor="text1"/>
          <w:sz w:val="24"/>
          <w:szCs w:val="24"/>
          <w:lang w:val="es-ES"/>
        </w:rPr>
        <w:t>  </w:t>
      </w:r>
    </w:p>
    <w:p w14:paraId="5592AD13" w14:textId="367D1B10" w:rsidR="004469E4" w:rsidRDefault="002355CA" w:rsidP="040BFC35">
      <w:pPr>
        <w:jc w:val="both"/>
        <w:rPr>
          <w:rFonts w:ascii="Garamond" w:eastAsia="Garamond" w:hAnsi="Garamond" w:cs="Garamond"/>
          <w:color w:val="000000" w:themeColor="text1"/>
          <w:sz w:val="24"/>
          <w:szCs w:val="24"/>
        </w:rPr>
      </w:pPr>
      <w:r>
        <w:rPr>
          <w:rFonts w:ascii="Garamond" w:eastAsia="Garamond" w:hAnsi="Garamond" w:cs="Garamond"/>
          <w:color w:val="000000" w:themeColor="text1"/>
          <w:sz w:val="24"/>
          <w:szCs w:val="24"/>
          <w:lang w:val="es-ES"/>
        </w:rPr>
        <w:t>A definirse con el PSF según el o los mecanismos seleccionados.</w:t>
      </w:r>
    </w:p>
    <w:p w14:paraId="0ACC5BEB" w14:textId="280A3591"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66E7384E" w14:textId="13884929"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DERECHOS DE PROPIEDAD y CONFIABILIDAD: </w:t>
      </w:r>
      <w:r w:rsidRPr="040BFC35">
        <w:rPr>
          <w:rFonts w:ascii="Garamond" w:eastAsia="Garamond" w:hAnsi="Garamond" w:cs="Garamond"/>
          <w:i/>
          <w:iCs/>
          <w:color w:val="000000" w:themeColor="text1"/>
          <w:sz w:val="24"/>
          <w:szCs w:val="24"/>
          <w:lang w:val="es-ES"/>
        </w:rPr>
        <w:t>los derechos de propiedad serán del Consejo Noruego para Refugiados. La confiabilidad de la información recolectada es fundamental y la difusión del material sin autorización de la organización podría poner en riesgo de seguridad a los participantes. Cualquier difusión o reproducción del material recolectado deberá contar con la autorización de la organización.  </w:t>
      </w:r>
    </w:p>
    <w:p w14:paraId="3DA1CFF7" w14:textId="78EB68D4"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42106A43" w14:textId="332258BF" w:rsidR="004469E4" w:rsidRDefault="613A7A9E" w:rsidP="040BFC35">
      <w:pPr>
        <w:jc w:val="both"/>
        <w:rPr>
          <w:rFonts w:ascii="Garamond" w:eastAsia="Garamond" w:hAnsi="Garamond" w:cs="Garamond"/>
          <w:color w:val="000000" w:themeColor="text1"/>
          <w:sz w:val="24"/>
          <w:szCs w:val="24"/>
        </w:rPr>
      </w:pPr>
      <w:r w:rsidRPr="040BFC35">
        <w:rPr>
          <w:rStyle w:val="normaltextrun"/>
          <w:rFonts w:ascii="Wingdings 2" w:eastAsia="Wingdings 2" w:hAnsi="Wingdings 2" w:cs="Wingdings 2"/>
          <w:color w:val="FF6600"/>
          <w:lang w:val="es-CO"/>
        </w:rPr>
        <w:t></w:t>
      </w:r>
      <w:r w:rsidRPr="040BFC35">
        <w:rPr>
          <w:rFonts w:ascii="Garamond" w:eastAsia="Garamond" w:hAnsi="Garamond" w:cs="Garamond"/>
          <w:color w:val="000000" w:themeColor="text1"/>
          <w:sz w:val="24"/>
          <w:szCs w:val="24"/>
          <w:lang w:val="es-ES"/>
        </w:rPr>
        <w:t> ELEGIBILIDAD </w:t>
      </w:r>
    </w:p>
    <w:p w14:paraId="5B9FF964" w14:textId="17DA8A84"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lastRenderedPageBreak/>
        <w:t> La participación en la licitación está abierta de la misma manera a cualquier persona natural o jurídica, Sin embargo, para cumplir con la reglamentación de algunos donantes del Consejo Noruego para Refugiados, los participantes deben indicar claramente la nacionalidad de la compañía, así como el origen y nacionalidad de los servicios propuestos. </w:t>
      </w:r>
    </w:p>
    <w:p w14:paraId="3B3A1BAE" w14:textId="4B27D499" w:rsidR="004469E4" w:rsidRDefault="613A7A9E" w:rsidP="040BFC35">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w:t>
      </w:r>
    </w:p>
    <w:p w14:paraId="3573D0D6" w14:textId="58BF2A4B" w:rsidR="004469E4" w:rsidRDefault="613A7A9E" w:rsidP="040BFC35">
      <w:pPr>
        <w:jc w:val="both"/>
        <w:rPr>
          <w:rFonts w:ascii="Garamond" w:eastAsia="Garamond" w:hAnsi="Garamond" w:cs="Garamond"/>
          <w:color w:val="000000" w:themeColor="text1"/>
          <w:sz w:val="24"/>
          <w:szCs w:val="24"/>
        </w:rPr>
      </w:pPr>
      <w:r w:rsidRPr="1FBFC0F2">
        <w:rPr>
          <w:rFonts w:ascii="Garamond" w:eastAsia="Garamond" w:hAnsi="Garamond" w:cs="Garamond"/>
          <w:color w:val="000000" w:themeColor="text1"/>
          <w:sz w:val="24"/>
          <w:szCs w:val="24"/>
          <w:lang w:val="es-ES"/>
        </w:rPr>
        <w:t>La persona (natural o jurídica) deberá presentar a Consejo Noruego para Refugiados:   </w:t>
      </w:r>
    </w:p>
    <w:p w14:paraId="2533B3B8" w14:textId="721FA070" w:rsidR="004469E4" w:rsidRDefault="613A7A9E" w:rsidP="002355CA">
      <w:pPr>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Copia RTN   </w:t>
      </w:r>
    </w:p>
    <w:p w14:paraId="3FC578A9" w14:textId="40E793D9" w:rsidR="004469E4" w:rsidRDefault="613A7A9E" w:rsidP="040BFC35">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Certificado de registro Cámara de Comercio   </w:t>
      </w:r>
    </w:p>
    <w:p w14:paraId="43C93981" w14:textId="1E243511" w:rsidR="004469E4" w:rsidRDefault="613A7A9E" w:rsidP="040BFC35">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Registro de estar al día en el pago de las cuotas al sistema de seguridad social.   </w:t>
      </w:r>
    </w:p>
    <w:p w14:paraId="1D28EB07" w14:textId="65BEE2C1" w:rsidR="004469E4" w:rsidRPr="003E369D" w:rsidRDefault="613A7A9E" w:rsidP="003E369D">
      <w:pPr>
        <w:pStyle w:val="Prrafodelista"/>
        <w:numPr>
          <w:ilvl w:val="0"/>
          <w:numId w:val="2"/>
        </w:numPr>
        <w:spacing w:after="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Certificado de antecedentes Judiciales para quien presenta la oferta.    </w:t>
      </w:r>
    </w:p>
    <w:p w14:paraId="0130F26E" w14:textId="77777777" w:rsidR="003E369D" w:rsidRPr="003E369D" w:rsidRDefault="003E369D" w:rsidP="003E369D">
      <w:pPr>
        <w:numPr>
          <w:ilvl w:val="0"/>
          <w:numId w:val="2"/>
        </w:numPr>
        <w:spacing w:after="0" w:line="276" w:lineRule="auto"/>
        <w:jc w:val="both"/>
        <w:rPr>
          <w:rFonts w:ascii="Garamond" w:eastAsia="Garamond" w:hAnsi="Garamond" w:cs="Garamond"/>
          <w:color w:val="000000" w:themeColor="text1"/>
          <w:sz w:val="24"/>
          <w:szCs w:val="24"/>
          <w:lang w:val="es-ES"/>
        </w:rPr>
      </w:pPr>
      <w:r w:rsidRPr="003E369D">
        <w:rPr>
          <w:rFonts w:ascii="Garamond" w:eastAsia="Garamond" w:hAnsi="Garamond" w:cs="Garamond"/>
          <w:color w:val="000000" w:themeColor="text1"/>
          <w:sz w:val="24"/>
          <w:szCs w:val="24"/>
          <w:lang w:val="es-ES"/>
        </w:rPr>
        <w:t>Propuesta técnica y financiera (Ver apartado B- Especificaciones técnicas y comerciales).</w:t>
      </w:r>
    </w:p>
    <w:p w14:paraId="2DCC8848" w14:textId="2E3AB706" w:rsidR="004469E4" w:rsidRPr="00B27326" w:rsidRDefault="613A7A9E" w:rsidP="003E369D">
      <w:pPr>
        <w:pStyle w:val="Prrafodelista"/>
        <w:numPr>
          <w:ilvl w:val="0"/>
          <w:numId w:val="2"/>
        </w:numPr>
        <w:spacing w:after="0" w:line="276" w:lineRule="auto"/>
        <w:jc w:val="both"/>
        <w:rPr>
          <w:rFonts w:ascii="Garamond" w:eastAsia="Garamond" w:hAnsi="Garamond" w:cs="Garamond"/>
          <w:color w:val="000000" w:themeColor="text1"/>
          <w:sz w:val="24"/>
          <w:szCs w:val="24"/>
          <w:lang w:val="es-ES"/>
        </w:rPr>
      </w:pPr>
      <w:r w:rsidRPr="040BFC35">
        <w:rPr>
          <w:rFonts w:ascii="Garamond" w:eastAsia="Garamond" w:hAnsi="Garamond" w:cs="Garamond"/>
          <w:color w:val="000000" w:themeColor="text1"/>
          <w:sz w:val="24"/>
          <w:szCs w:val="24"/>
          <w:lang w:val="es-ES"/>
        </w:rPr>
        <w:t>Anexo 1: Lista de preguntas para el Proveedor Financiero</w:t>
      </w:r>
      <w:r w:rsidR="00B27326">
        <w:rPr>
          <w:rFonts w:ascii="Garamond" w:eastAsia="Garamond" w:hAnsi="Garamond" w:cs="Garamond"/>
          <w:color w:val="000000" w:themeColor="text1"/>
          <w:sz w:val="24"/>
          <w:szCs w:val="24"/>
          <w:lang w:val="es-ES"/>
        </w:rPr>
        <w:t xml:space="preserve"> </w:t>
      </w:r>
      <w:r w:rsidR="00B27326" w:rsidRPr="00B27326">
        <w:rPr>
          <w:rFonts w:ascii="Garamond" w:eastAsia="Garamond" w:hAnsi="Garamond" w:cs="Garamond"/>
          <w:color w:val="000000" w:themeColor="text1"/>
          <w:sz w:val="24"/>
          <w:szCs w:val="24"/>
          <w:lang w:val="es-ES"/>
        </w:rPr>
        <w:t>en formato PDF, firmado por quien presenta la oferta</w:t>
      </w:r>
      <w:r w:rsidR="00B27326">
        <w:rPr>
          <w:rFonts w:ascii="Garamond" w:eastAsia="Garamond" w:hAnsi="Garamond" w:cs="Garamond"/>
          <w:color w:val="000000" w:themeColor="text1"/>
          <w:sz w:val="24"/>
          <w:szCs w:val="24"/>
          <w:lang w:val="es-ES"/>
        </w:rPr>
        <w:t>.</w:t>
      </w:r>
      <w:r w:rsidRPr="040BFC35">
        <w:rPr>
          <w:rFonts w:ascii="Garamond" w:eastAsia="Garamond" w:hAnsi="Garamond" w:cs="Garamond"/>
          <w:color w:val="000000" w:themeColor="text1"/>
          <w:sz w:val="24"/>
          <w:szCs w:val="24"/>
          <w:lang w:val="es-ES"/>
        </w:rPr>
        <w:t>   </w:t>
      </w:r>
    </w:p>
    <w:p w14:paraId="106F2A21" w14:textId="2E6E9DA6" w:rsidR="004469E4" w:rsidRDefault="613A7A9E" w:rsidP="00945C31">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 xml:space="preserve">Anexo 2: </w:t>
      </w:r>
      <w:r w:rsidR="00945C31" w:rsidRPr="00945C31">
        <w:rPr>
          <w:rFonts w:ascii="Garamond" w:eastAsia="Garamond" w:hAnsi="Garamond" w:cs="Garamond"/>
          <w:color w:val="000000" w:themeColor="text1"/>
          <w:sz w:val="24"/>
          <w:szCs w:val="24"/>
          <w:lang w:val="es-ES"/>
        </w:rPr>
        <w:t>Declaración de normas éticas para todos los contratistas de suministros, servicios y obras</w:t>
      </w:r>
    </w:p>
    <w:p w14:paraId="0EEE07E9" w14:textId="674B9AB0" w:rsidR="004469E4" w:rsidRDefault="613A7A9E" w:rsidP="040BFC35">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Anexo 3: Declaración de conformidad y compromiso a respetar el código de ética de Consejo Noruego para Refugiados </w:t>
      </w:r>
    </w:p>
    <w:p w14:paraId="7ABBBB61" w14:textId="54527740" w:rsidR="004469E4" w:rsidRDefault="613A7A9E" w:rsidP="040BFC35">
      <w:pPr>
        <w:pStyle w:val="Prrafodelista"/>
        <w:numPr>
          <w:ilvl w:val="0"/>
          <w:numId w:val="2"/>
        </w:numPr>
        <w:spacing w:after="200" w:line="276" w:lineRule="auto"/>
        <w:jc w:val="both"/>
        <w:rPr>
          <w:rFonts w:ascii="Garamond" w:eastAsia="Garamond" w:hAnsi="Garamond" w:cs="Garamond"/>
          <w:color w:val="000000" w:themeColor="text1"/>
          <w:sz w:val="24"/>
          <w:szCs w:val="24"/>
        </w:rPr>
      </w:pPr>
      <w:r w:rsidRPr="040BFC35">
        <w:rPr>
          <w:rFonts w:ascii="Garamond" w:eastAsia="Garamond" w:hAnsi="Garamond" w:cs="Garamond"/>
          <w:color w:val="000000" w:themeColor="text1"/>
          <w:sz w:val="24"/>
          <w:szCs w:val="24"/>
          <w:lang w:val="es-ES"/>
        </w:rPr>
        <w:t>Al menos tres (3) certificaciones de experiencia relevante. </w:t>
      </w:r>
    </w:p>
    <w:p w14:paraId="7D2DEB94" w14:textId="77777777" w:rsidR="00887450" w:rsidRDefault="00887450" w:rsidP="00887450">
      <w:pPr>
        <w:pStyle w:val="Prrafodelista"/>
        <w:spacing w:after="200" w:line="276" w:lineRule="auto"/>
        <w:jc w:val="both"/>
        <w:rPr>
          <w:rFonts w:ascii="Garamond" w:eastAsia="Garamond" w:hAnsi="Garamond" w:cs="Garamond"/>
          <w:color w:val="000000" w:themeColor="text1"/>
          <w:sz w:val="24"/>
          <w:szCs w:val="24"/>
          <w:lang w:val="es-ES"/>
        </w:rPr>
      </w:pPr>
    </w:p>
    <w:p w14:paraId="3428585C" w14:textId="77777777" w:rsidR="00887450" w:rsidRPr="00887450" w:rsidRDefault="00887450" w:rsidP="00887450">
      <w:pPr>
        <w:pStyle w:val="Prrafodelista"/>
        <w:spacing w:after="200" w:line="276" w:lineRule="auto"/>
        <w:jc w:val="both"/>
        <w:rPr>
          <w:rFonts w:ascii="Garamond" w:eastAsia="Garamond" w:hAnsi="Garamond" w:cs="Garamond"/>
          <w:b/>
          <w:color w:val="000000" w:themeColor="text1"/>
          <w:sz w:val="24"/>
          <w:szCs w:val="24"/>
          <w:lang w:val="es-ES"/>
        </w:rPr>
      </w:pPr>
    </w:p>
    <w:p w14:paraId="21C5135D" w14:textId="6E539928" w:rsidR="1FBFC0F2" w:rsidRDefault="613A7A9E" w:rsidP="001A70BB">
      <w:pPr>
        <w:pStyle w:val="Prrafodelista"/>
        <w:spacing w:after="200" w:line="276" w:lineRule="auto"/>
        <w:jc w:val="both"/>
        <w:rPr>
          <w:rFonts w:ascii="Garamond" w:eastAsia="Garamond" w:hAnsi="Garamond" w:cs="Garamond"/>
          <w:color w:val="000000" w:themeColor="text1"/>
          <w:sz w:val="24"/>
          <w:szCs w:val="24"/>
          <w:lang w:val="es-ES"/>
        </w:rPr>
      </w:pPr>
      <w:r w:rsidRPr="00887450">
        <w:rPr>
          <w:rFonts w:ascii="Garamond" w:eastAsia="Garamond" w:hAnsi="Garamond" w:cs="Garamond"/>
          <w:b/>
          <w:color w:val="000000" w:themeColor="text1"/>
          <w:sz w:val="24"/>
          <w:szCs w:val="24"/>
          <w:lang w:val="es-ES"/>
        </w:rPr>
        <w:t>Presentar su aplicación al correo electrónico </w:t>
      </w:r>
      <w:proofErr w:type="spellStart"/>
      <w:r w:rsidR="00887450" w:rsidRPr="00887450">
        <w:rPr>
          <w:rFonts w:ascii="Garamond" w:eastAsia="Garamond" w:hAnsi="Garamond" w:cs="Garamond"/>
          <w:b/>
          <w:color w:val="000000" w:themeColor="text1"/>
          <w:sz w:val="24"/>
          <w:szCs w:val="24"/>
          <w:lang w:val="es-ES"/>
        </w:rPr>
        <w:t>hn.logistics</w:t>
      </w:r>
      <w:hyperlink r:id="rId10">
        <w:r w:rsidRPr="00887450">
          <w:rPr>
            <w:rStyle w:val="Hipervnculo"/>
            <w:rFonts w:ascii="Garamond" w:eastAsia="Garamond" w:hAnsi="Garamond" w:cs="Garamond"/>
            <w:b/>
            <w:sz w:val="24"/>
            <w:szCs w:val="24"/>
            <w:lang w:val="es-ES"/>
          </w:rPr>
          <w:t>@nrc.no</w:t>
        </w:r>
        <w:proofErr w:type="spellEnd"/>
      </w:hyperlink>
      <w:r w:rsidRPr="00887450">
        <w:rPr>
          <w:rFonts w:ascii="Garamond" w:eastAsia="Garamond" w:hAnsi="Garamond" w:cs="Garamond"/>
          <w:b/>
          <w:color w:val="000000" w:themeColor="text1"/>
          <w:sz w:val="24"/>
          <w:szCs w:val="24"/>
          <w:lang w:val="es-ES"/>
        </w:rPr>
        <w:t> antes del </w:t>
      </w:r>
      <w:r w:rsidR="00887450" w:rsidRPr="00887450">
        <w:rPr>
          <w:rFonts w:ascii="Garamond" w:eastAsia="Garamond" w:hAnsi="Garamond" w:cs="Garamond"/>
          <w:b/>
          <w:color w:val="000000" w:themeColor="text1"/>
          <w:sz w:val="24"/>
          <w:szCs w:val="24"/>
          <w:lang w:val="es-ES"/>
        </w:rPr>
        <w:t>22</w:t>
      </w:r>
      <w:r w:rsidR="00945C31" w:rsidRPr="00887450">
        <w:rPr>
          <w:rFonts w:ascii="Garamond" w:eastAsia="Garamond" w:hAnsi="Garamond" w:cs="Garamond"/>
          <w:b/>
          <w:color w:val="000000" w:themeColor="text1"/>
          <w:sz w:val="24"/>
          <w:szCs w:val="24"/>
          <w:lang w:val="es-ES"/>
        </w:rPr>
        <w:t xml:space="preserve"> de </w:t>
      </w:r>
      <w:r w:rsidR="00887450" w:rsidRPr="00887450">
        <w:rPr>
          <w:rFonts w:ascii="Garamond" w:eastAsia="Garamond" w:hAnsi="Garamond" w:cs="Garamond"/>
          <w:b/>
          <w:color w:val="000000" w:themeColor="text1"/>
          <w:sz w:val="24"/>
          <w:szCs w:val="24"/>
          <w:lang w:val="es-ES"/>
        </w:rPr>
        <w:t xml:space="preserve">octubre </w:t>
      </w:r>
      <w:r w:rsidR="00945C31" w:rsidRPr="00887450">
        <w:rPr>
          <w:rFonts w:ascii="Garamond" w:eastAsia="Garamond" w:hAnsi="Garamond" w:cs="Garamond"/>
          <w:b/>
          <w:color w:val="000000" w:themeColor="text1"/>
          <w:sz w:val="24"/>
          <w:szCs w:val="24"/>
          <w:lang w:val="es-ES"/>
        </w:rPr>
        <w:t>de 2021</w:t>
      </w:r>
      <w:r w:rsidRPr="00887450">
        <w:rPr>
          <w:rFonts w:ascii="Garamond" w:eastAsia="Garamond" w:hAnsi="Garamond" w:cs="Garamond"/>
          <w:b/>
          <w:color w:val="000000" w:themeColor="text1"/>
          <w:sz w:val="24"/>
          <w:szCs w:val="24"/>
          <w:lang w:val="es-ES"/>
        </w:rPr>
        <w:t> </w:t>
      </w:r>
      <w:r w:rsidR="001A70BB">
        <w:rPr>
          <w:rFonts w:ascii="Garamond" w:eastAsia="Garamond" w:hAnsi="Garamond" w:cs="Garamond"/>
          <w:b/>
          <w:color w:val="000000" w:themeColor="text1"/>
          <w:sz w:val="24"/>
          <w:szCs w:val="24"/>
          <w:lang w:val="es-ES"/>
        </w:rPr>
        <w:t xml:space="preserve"> </w:t>
      </w:r>
      <w:r w:rsidR="002E2C4B">
        <w:rPr>
          <w:rFonts w:ascii="Garamond" w:eastAsia="Garamond" w:hAnsi="Garamond" w:cs="Garamond"/>
          <w:b/>
          <w:color w:val="000000" w:themeColor="text1"/>
          <w:sz w:val="24"/>
          <w:szCs w:val="24"/>
          <w:lang w:val="es-ES"/>
        </w:rPr>
        <w:t>a las 4</w:t>
      </w:r>
      <w:r w:rsidRPr="00887450">
        <w:rPr>
          <w:rFonts w:ascii="Garamond" w:eastAsia="Garamond" w:hAnsi="Garamond" w:cs="Garamond"/>
          <w:b/>
          <w:color w:val="000000" w:themeColor="text1"/>
          <w:sz w:val="24"/>
          <w:szCs w:val="24"/>
          <w:lang w:val="es-ES"/>
        </w:rPr>
        <w:t>:00 pm hora de Honduras con el asunto Licitación </w:t>
      </w:r>
      <w:r w:rsidR="00887450" w:rsidRPr="00887450">
        <w:rPr>
          <w:rFonts w:ascii="Garamond" w:eastAsia="Garamond" w:hAnsi="Garamond" w:cs="Garamond"/>
          <w:b/>
          <w:color w:val="000000" w:themeColor="text1"/>
          <w:sz w:val="24"/>
          <w:szCs w:val="24"/>
          <w:lang w:val="es-ES"/>
        </w:rPr>
        <w:t>ITBHON0005_</w:t>
      </w:r>
      <w:r w:rsidR="00887450" w:rsidRPr="00887450">
        <w:t xml:space="preserve"> </w:t>
      </w:r>
      <w:r w:rsidR="001A70BB" w:rsidRPr="5FCCB784">
        <w:rPr>
          <w:lang w:val="es-ES"/>
        </w:rPr>
        <w:t>Prestación de Servicios Financieros para la Distribución de Transferencias Monetarias Multipropósito</w:t>
      </w:r>
    </w:p>
    <w:p w14:paraId="7DB4DBD4" w14:textId="59060E5C" w:rsidR="004469E4" w:rsidRDefault="00AB2C36" w:rsidP="040BFC35">
      <w:pPr>
        <w:jc w:val="both"/>
        <w:rPr>
          <w:rFonts w:ascii="Garamond" w:eastAsia="Garamond" w:hAnsi="Garamond" w:cs="Garamond"/>
          <w:color w:val="000000" w:themeColor="text1"/>
          <w:sz w:val="24"/>
          <w:szCs w:val="24"/>
        </w:rPr>
      </w:pPr>
      <w:r>
        <w:rPr>
          <w:rFonts w:ascii="Garamond" w:eastAsia="Garamond" w:hAnsi="Garamond" w:cs="Garamond"/>
          <w:color w:val="000000" w:themeColor="text1"/>
          <w:sz w:val="24"/>
          <w:szCs w:val="24"/>
          <w:lang w:val="es-ES"/>
        </w:rPr>
        <w:t xml:space="preserve">                 </w:t>
      </w:r>
      <w:r w:rsidR="613A7A9E" w:rsidRPr="040BFC35">
        <w:rPr>
          <w:rFonts w:ascii="Garamond" w:eastAsia="Garamond" w:hAnsi="Garamond" w:cs="Garamond"/>
          <w:color w:val="000000" w:themeColor="text1"/>
          <w:sz w:val="24"/>
          <w:szCs w:val="24"/>
          <w:lang w:val="es-ES"/>
        </w:rPr>
        <w:t>Nota: Solamente se evaluarán las propuestas que cumplan con los requisitos solicitados </w:t>
      </w:r>
    </w:p>
    <w:p w14:paraId="2C078E63" w14:textId="266EE526" w:rsidR="004469E4" w:rsidRDefault="004469E4" w:rsidP="040BFC35"/>
    <w:sectPr w:rsidR="004469E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98346D" w16cex:dateUtc="2021-09-09T21:40:36.083Z"/>
  <w16cex:commentExtensible w16cex:durableId="27D1BB73" w16cex:dateUtc="2021-09-09T21:43:03.553Z"/>
  <w16cex:commentExtensible w16cex:durableId="792EF930" w16cex:dateUtc="2021-09-09T21:43:18.544Z"/>
  <w16cex:commentExtensible w16cex:durableId="30C40334" w16cex:dateUtc="2021-09-09T21:46:29.256Z"/>
  <w16cex:commentExtensible w16cex:durableId="1D382C5A" w16cex:dateUtc="2021-09-09T21:47:17.186Z"/>
</w16cex:commentsExtensible>
</file>

<file path=word/commentsIds.xml><?xml version="1.0" encoding="utf-8"?>
<w16cid:commentsIds xmlns:mc="http://schemas.openxmlformats.org/markup-compatibility/2006" xmlns:w16cid="http://schemas.microsoft.com/office/word/2016/wordml/cid" mc:Ignorable="w16cid">
  <w16cid:commentId w16cid:paraId="77D8B4F6" w16cid:durableId="41A8C701"/>
  <w16cid:commentId w16cid:paraId="4EA0222E" w16cid:durableId="12BB953E"/>
  <w16cid:commentId w16cid:paraId="060B492C" w16cid:durableId="0A98346D"/>
  <w16cid:commentId w16cid:paraId="61049105" w16cid:durableId="27D1BB73"/>
  <w16cid:commentId w16cid:paraId="7FA35190" w16cid:durableId="792EF930"/>
  <w16cid:commentId w16cid:paraId="2E87E183" w16cid:durableId="30C40334"/>
  <w16cid:commentId w16cid:paraId="286D9B05" w16cid:durableId="1D382C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619"/>
    <w:multiLevelType w:val="hybridMultilevel"/>
    <w:tmpl w:val="C4849C08"/>
    <w:lvl w:ilvl="0" w:tplc="9816038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33A2857"/>
    <w:multiLevelType w:val="hybridMultilevel"/>
    <w:tmpl w:val="83EA4CE8"/>
    <w:lvl w:ilvl="0" w:tplc="C7B4C26E">
      <w:start w:val="1"/>
      <w:numFmt w:val="bullet"/>
      <w:lvlText w:val="-"/>
      <w:lvlJc w:val="left"/>
      <w:pPr>
        <w:ind w:left="720" w:hanging="360"/>
      </w:pPr>
      <w:rPr>
        <w:rFonts w:ascii="Times New Roman" w:hAnsi="Times New Roman" w:hint="default"/>
      </w:rPr>
    </w:lvl>
    <w:lvl w:ilvl="1" w:tplc="71F43972">
      <w:start w:val="1"/>
      <w:numFmt w:val="bullet"/>
      <w:lvlText w:val="o"/>
      <w:lvlJc w:val="left"/>
      <w:pPr>
        <w:ind w:left="1440" w:hanging="360"/>
      </w:pPr>
      <w:rPr>
        <w:rFonts w:ascii="Courier New" w:hAnsi="Courier New" w:hint="default"/>
      </w:rPr>
    </w:lvl>
    <w:lvl w:ilvl="2" w:tplc="22B8631A">
      <w:start w:val="1"/>
      <w:numFmt w:val="bullet"/>
      <w:lvlText w:val=""/>
      <w:lvlJc w:val="left"/>
      <w:pPr>
        <w:ind w:left="2160" w:hanging="360"/>
      </w:pPr>
      <w:rPr>
        <w:rFonts w:ascii="Wingdings" w:hAnsi="Wingdings" w:hint="default"/>
      </w:rPr>
    </w:lvl>
    <w:lvl w:ilvl="3" w:tplc="7CF426CA">
      <w:start w:val="1"/>
      <w:numFmt w:val="bullet"/>
      <w:lvlText w:val=""/>
      <w:lvlJc w:val="left"/>
      <w:pPr>
        <w:ind w:left="2880" w:hanging="360"/>
      </w:pPr>
      <w:rPr>
        <w:rFonts w:ascii="Symbol" w:hAnsi="Symbol" w:hint="default"/>
      </w:rPr>
    </w:lvl>
    <w:lvl w:ilvl="4" w:tplc="9956FF92">
      <w:start w:val="1"/>
      <w:numFmt w:val="bullet"/>
      <w:lvlText w:val="o"/>
      <w:lvlJc w:val="left"/>
      <w:pPr>
        <w:ind w:left="3600" w:hanging="360"/>
      </w:pPr>
      <w:rPr>
        <w:rFonts w:ascii="Courier New" w:hAnsi="Courier New" w:hint="default"/>
      </w:rPr>
    </w:lvl>
    <w:lvl w:ilvl="5" w:tplc="2E2A8A2C">
      <w:start w:val="1"/>
      <w:numFmt w:val="bullet"/>
      <w:lvlText w:val=""/>
      <w:lvlJc w:val="left"/>
      <w:pPr>
        <w:ind w:left="4320" w:hanging="360"/>
      </w:pPr>
      <w:rPr>
        <w:rFonts w:ascii="Wingdings" w:hAnsi="Wingdings" w:hint="default"/>
      </w:rPr>
    </w:lvl>
    <w:lvl w:ilvl="6" w:tplc="32B6D176">
      <w:start w:val="1"/>
      <w:numFmt w:val="bullet"/>
      <w:lvlText w:val=""/>
      <w:lvlJc w:val="left"/>
      <w:pPr>
        <w:ind w:left="5040" w:hanging="360"/>
      </w:pPr>
      <w:rPr>
        <w:rFonts w:ascii="Symbol" w:hAnsi="Symbol" w:hint="default"/>
      </w:rPr>
    </w:lvl>
    <w:lvl w:ilvl="7" w:tplc="1CECD648">
      <w:start w:val="1"/>
      <w:numFmt w:val="bullet"/>
      <w:lvlText w:val="o"/>
      <w:lvlJc w:val="left"/>
      <w:pPr>
        <w:ind w:left="5760" w:hanging="360"/>
      </w:pPr>
      <w:rPr>
        <w:rFonts w:ascii="Courier New" w:hAnsi="Courier New" w:hint="default"/>
      </w:rPr>
    </w:lvl>
    <w:lvl w:ilvl="8" w:tplc="20BEA47E">
      <w:start w:val="1"/>
      <w:numFmt w:val="bullet"/>
      <w:lvlText w:val=""/>
      <w:lvlJc w:val="left"/>
      <w:pPr>
        <w:ind w:left="6480" w:hanging="360"/>
      </w:pPr>
      <w:rPr>
        <w:rFonts w:ascii="Wingdings" w:hAnsi="Wingdings" w:hint="default"/>
      </w:rPr>
    </w:lvl>
  </w:abstractNum>
  <w:abstractNum w:abstractNumId="2" w15:restartNumberingAfterBreak="0">
    <w:nsid w:val="5E33173D"/>
    <w:multiLevelType w:val="hybridMultilevel"/>
    <w:tmpl w:val="84AAE564"/>
    <w:lvl w:ilvl="0" w:tplc="BEC64A8E">
      <w:start w:val="1"/>
      <w:numFmt w:val="bullet"/>
      <w:lvlText w:val="-"/>
      <w:lvlJc w:val="left"/>
      <w:pPr>
        <w:ind w:left="720" w:hanging="360"/>
      </w:pPr>
      <w:rPr>
        <w:rFonts w:ascii="Times New Roman" w:hAnsi="Times New Roman" w:hint="default"/>
      </w:rPr>
    </w:lvl>
    <w:lvl w:ilvl="1" w:tplc="8A9C0EB8">
      <w:start w:val="1"/>
      <w:numFmt w:val="bullet"/>
      <w:lvlText w:val="o"/>
      <w:lvlJc w:val="left"/>
      <w:pPr>
        <w:ind w:left="1440" w:hanging="360"/>
      </w:pPr>
      <w:rPr>
        <w:rFonts w:ascii="Courier New" w:hAnsi="Courier New" w:hint="default"/>
      </w:rPr>
    </w:lvl>
    <w:lvl w:ilvl="2" w:tplc="1396BE44">
      <w:start w:val="1"/>
      <w:numFmt w:val="bullet"/>
      <w:lvlText w:val=""/>
      <w:lvlJc w:val="left"/>
      <w:pPr>
        <w:ind w:left="2160" w:hanging="360"/>
      </w:pPr>
      <w:rPr>
        <w:rFonts w:ascii="Wingdings" w:hAnsi="Wingdings" w:hint="default"/>
      </w:rPr>
    </w:lvl>
    <w:lvl w:ilvl="3" w:tplc="D53E34FC">
      <w:start w:val="1"/>
      <w:numFmt w:val="bullet"/>
      <w:lvlText w:val=""/>
      <w:lvlJc w:val="left"/>
      <w:pPr>
        <w:ind w:left="2880" w:hanging="360"/>
      </w:pPr>
      <w:rPr>
        <w:rFonts w:ascii="Symbol" w:hAnsi="Symbol" w:hint="default"/>
      </w:rPr>
    </w:lvl>
    <w:lvl w:ilvl="4" w:tplc="17BE1864">
      <w:start w:val="1"/>
      <w:numFmt w:val="bullet"/>
      <w:lvlText w:val="o"/>
      <w:lvlJc w:val="left"/>
      <w:pPr>
        <w:ind w:left="3600" w:hanging="360"/>
      </w:pPr>
      <w:rPr>
        <w:rFonts w:ascii="Courier New" w:hAnsi="Courier New" w:hint="default"/>
      </w:rPr>
    </w:lvl>
    <w:lvl w:ilvl="5" w:tplc="1D802AB4">
      <w:start w:val="1"/>
      <w:numFmt w:val="bullet"/>
      <w:lvlText w:val=""/>
      <w:lvlJc w:val="left"/>
      <w:pPr>
        <w:ind w:left="4320" w:hanging="360"/>
      </w:pPr>
      <w:rPr>
        <w:rFonts w:ascii="Wingdings" w:hAnsi="Wingdings" w:hint="default"/>
      </w:rPr>
    </w:lvl>
    <w:lvl w:ilvl="6" w:tplc="C0A64F10">
      <w:start w:val="1"/>
      <w:numFmt w:val="bullet"/>
      <w:lvlText w:val=""/>
      <w:lvlJc w:val="left"/>
      <w:pPr>
        <w:ind w:left="5040" w:hanging="360"/>
      </w:pPr>
      <w:rPr>
        <w:rFonts w:ascii="Symbol" w:hAnsi="Symbol" w:hint="default"/>
      </w:rPr>
    </w:lvl>
    <w:lvl w:ilvl="7" w:tplc="746E2290">
      <w:start w:val="1"/>
      <w:numFmt w:val="bullet"/>
      <w:lvlText w:val="o"/>
      <w:lvlJc w:val="left"/>
      <w:pPr>
        <w:ind w:left="5760" w:hanging="360"/>
      </w:pPr>
      <w:rPr>
        <w:rFonts w:ascii="Courier New" w:hAnsi="Courier New" w:hint="default"/>
      </w:rPr>
    </w:lvl>
    <w:lvl w:ilvl="8" w:tplc="60D2B92E">
      <w:start w:val="1"/>
      <w:numFmt w:val="bullet"/>
      <w:lvlText w:val=""/>
      <w:lvlJc w:val="left"/>
      <w:pPr>
        <w:ind w:left="6480" w:hanging="360"/>
      </w:pPr>
      <w:rPr>
        <w:rFonts w:ascii="Wingdings" w:hAnsi="Wingdings" w:hint="default"/>
      </w:rPr>
    </w:lvl>
  </w:abstractNum>
  <w:abstractNum w:abstractNumId="3" w15:restartNumberingAfterBreak="0">
    <w:nsid w:val="61B10DCD"/>
    <w:multiLevelType w:val="hybridMultilevel"/>
    <w:tmpl w:val="45042A18"/>
    <w:lvl w:ilvl="0" w:tplc="45227D88">
      <w:start w:val="1"/>
      <w:numFmt w:val="bullet"/>
      <w:lvlText w:val="-"/>
      <w:lvlJc w:val="left"/>
      <w:pPr>
        <w:ind w:left="720" w:hanging="360"/>
      </w:pPr>
      <w:rPr>
        <w:rFonts w:ascii="Times New Roman" w:hAnsi="Times New Roman" w:hint="default"/>
      </w:rPr>
    </w:lvl>
    <w:lvl w:ilvl="1" w:tplc="50CAE972">
      <w:start w:val="1"/>
      <w:numFmt w:val="bullet"/>
      <w:lvlText w:val="o"/>
      <w:lvlJc w:val="left"/>
      <w:pPr>
        <w:ind w:left="1440" w:hanging="360"/>
      </w:pPr>
      <w:rPr>
        <w:rFonts w:ascii="Courier New" w:hAnsi="Courier New" w:hint="default"/>
      </w:rPr>
    </w:lvl>
    <w:lvl w:ilvl="2" w:tplc="53F4409C">
      <w:start w:val="1"/>
      <w:numFmt w:val="bullet"/>
      <w:lvlText w:val=""/>
      <w:lvlJc w:val="left"/>
      <w:pPr>
        <w:ind w:left="2160" w:hanging="360"/>
      </w:pPr>
      <w:rPr>
        <w:rFonts w:ascii="Wingdings" w:hAnsi="Wingdings" w:hint="default"/>
      </w:rPr>
    </w:lvl>
    <w:lvl w:ilvl="3" w:tplc="2F66DDDA">
      <w:start w:val="1"/>
      <w:numFmt w:val="bullet"/>
      <w:lvlText w:val=""/>
      <w:lvlJc w:val="left"/>
      <w:pPr>
        <w:ind w:left="2880" w:hanging="360"/>
      </w:pPr>
      <w:rPr>
        <w:rFonts w:ascii="Symbol" w:hAnsi="Symbol" w:hint="default"/>
      </w:rPr>
    </w:lvl>
    <w:lvl w:ilvl="4" w:tplc="B7C45DEC">
      <w:start w:val="1"/>
      <w:numFmt w:val="bullet"/>
      <w:lvlText w:val="o"/>
      <w:lvlJc w:val="left"/>
      <w:pPr>
        <w:ind w:left="3600" w:hanging="360"/>
      </w:pPr>
      <w:rPr>
        <w:rFonts w:ascii="Courier New" w:hAnsi="Courier New" w:hint="default"/>
      </w:rPr>
    </w:lvl>
    <w:lvl w:ilvl="5" w:tplc="A34E580E">
      <w:start w:val="1"/>
      <w:numFmt w:val="bullet"/>
      <w:lvlText w:val=""/>
      <w:lvlJc w:val="left"/>
      <w:pPr>
        <w:ind w:left="4320" w:hanging="360"/>
      </w:pPr>
      <w:rPr>
        <w:rFonts w:ascii="Wingdings" w:hAnsi="Wingdings" w:hint="default"/>
      </w:rPr>
    </w:lvl>
    <w:lvl w:ilvl="6" w:tplc="8F6812EA">
      <w:start w:val="1"/>
      <w:numFmt w:val="bullet"/>
      <w:lvlText w:val=""/>
      <w:lvlJc w:val="left"/>
      <w:pPr>
        <w:ind w:left="5040" w:hanging="360"/>
      </w:pPr>
      <w:rPr>
        <w:rFonts w:ascii="Symbol" w:hAnsi="Symbol" w:hint="default"/>
      </w:rPr>
    </w:lvl>
    <w:lvl w:ilvl="7" w:tplc="F7369E50">
      <w:start w:val="1"/>
      <w:numFmt w:val="bullet"/>
      <w:lvlText w:val="o"/>
      <w:lvlJc w:val="left"/>
      <w:pPr>
        <w:ind w:left="5760" w:hanging="360"/>
      </w:pPr>
      <w:rPr>
        <w:rFonts w:ascii="Courier New" w:hAnsi="Courier New" w:hint="default"/>
      </w:rPr>
    </w:lvl>
    <w:lvl w:ilvl="8" w:tplc="F4B6B574">
      <w:start w:val="1"/>
      <w:numFmt w:val="bullet"/>
      <w:lvlText w:val=""/>
      <w:lvlJc w:val="left"/>
      <w:pPr>
        <w:ind w:left="6480" w:hanging="360"/>
      </w:pPr>
      <w:rPr>
        <w:rFonts w:ascii="Wingdings" w:hAnsi="Wingdings" w:hint="default"/>
      </w:rPr>
    </w:lvl>
  </w:abstractNum>
  <w:abstractNum w:abstractNumId="4" w15:restartNumberingAfterBreak="0">
    <w:nsid w:val="625D4F2C"/>
    <w:multiLevelType w:val="hybridMultilevel"/>
    <w:tmpl w:val="17A220E4"/>
    <w:lvl w:ilvl="0" w:tplc="327060EE">
      <w:start w:val="1"/>
      <w:numFmt w:val="bullet"/>
      <w:lvlText w:val="-"/>
      <w:lvlJc w:val="left"/>
      <w:pPr>
        <w:ind w:left="720" w:hanging="360"/>
      </w:pPr>
      <w:rPr>
        <w:rFonts w:ascii="Calibri" w:hAnsi="Calibri" w:hint="default"/>
      </w:rPr>
    </w:lvl>
    <w:lvl w:ilvl="1" w:tplc="0ACA5C10">
      <w:start w:val="1"/>
      <w:numFmt w:val="bullet"/>
      <w:lvlText w:val="o"/>
      <w:lvlJc w:val="left"/>
      <w:pPr>
        <w:ind w:left="1440" w:hanging="360"/>
      </w:pPr>
      <w:rPr>
        <w:rFonts w:ascii="Courier New" w:hAnsi="Courier New" w:hint="default"/>
      </w:rPr>
    </w:lvl>
    <w:lvl w:ilvl="2" w:tplc="3014FAA8">
      <w:start w:val="1"/>
      <w:numFmt w:val="bullet"/>
      <w:lvlText w:val=""/>
      <w:lvlJc w:val="left"/>
      <w:pPr>
        <w:ind w:left="2160" w:hanging="360"/>
      </w:pPr>
      <w:rPr>
        <w:rFonts w:ascii="Wingdings" w:hAnsi="Wingdings" w:hint="default"/>
      </w:rPr>
    </w:lvl>
    <w:lvl w:ilvl="3" w:tplc="89B0C60A">
      <w:start w:val="1"/>
      <w:numFmt w:val="bullet"/>
      <w:lvlText w:val=""/>
      <w:lvlJc w:val="left"/>
      <w:pPr>
        <w:ind w:left="2880" w:hanging="360"/>
      </w:pPr>
      <w:rPr>
        <w:rFonts w:ascii="Symbol" w:hAnsi="Symbol" w:hint="default"/>
      </w:rPr>
    </w:lvl>
    <w:lvl w:ilvl="4" w:tplc="044E6A70">
      <w:start w:val="1"/>
      <w:numFmt w:val="bullet"/>
      <w:lvlText w:val="o"/>
      <w:lvlJc w:val="left"/>
      <w:pPr>
        <w:ind w:left="3600" w:hanging="360"/>
      </w:pPr>
      <w:rPr>
        <w:rFonts w:ascii="Courier New" w:hAnsi="Courier New" w:hint="default"/>
      </w:rPr>
    </w:lvl>
    <w:lvl w:ilvl="5" w:tplc="C1FA1B16">
      <w:start w:val="1"/>
      <w:numFmt w:val="bullet"/>
      <w:lvlText w:val=""/>
      <w:lvlJc w:val="left"/>
      <w:pPr>
        <w:ind w:left="4320" w:hanging="360"/>
      </w:pPr>
      <w:rPr>
        <w:rFonts w:ascii="Wingdings" w:hAnsi="Wingdings" w:hint="default"/>
      </w:rPr>
    </w:lvl>
    <w:lvl w:ilvl="6" w:tplc="7B0C1F10">
      <w:start w:val="1"/>
      <w:numFmt w:val="bullet"/>
      <w:lvlText w:val=""/>
      <w:lvlJc w:val="left"/>
      <w:pPr>
        <w:ind w:left="5040" w:hanging="360"/>
      </w:pPr>
      <w:rPr>
        <w:rFonts w:ascii="Symbol" w:hAnsi="Symbol" w:hint="default"/>
      </w:rPr>
    </w:lvl>
    <w:lvl w:ilvl="7" w:tplc="1C7AB336">
      <w:start w:val="1"/>
      <w:numFmt w:val="bullet"/>
      <w:lvlText w:val="o"/>
      <w:lvlJc w:val="left"/>
      <w:pPr>
        <w:ind w:left="5760" w:hanging="360"/>
      </w:pPr>
      <w:rPr>
        <w:rFonts w:ascii="Courier New" w:hAnsi="Courier New" w:hint="default"/>
      </w:rPr>
    </w:lvl>
    <w:lvl w:ilvl="8" w:tplc="CD4EE80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DCAEAD"/>
    <w:rsid w:val="00047F15"/>
    <w:rsid w:val="001A70BB"/>
    <w:rsid w:val="0022645A"/>
    <w:rsid w:val="002355CA"/>
    <w:rsid w:val="002E2C4B"/>
    <w:rsid w:val="003E369D"/>
    <w:rsid w:val="003F5342"/>
    <w:rsid w:val="004469E4"/>
    <w:rsid w:val="00564648"/>
    <w:rsid w:val="00617EF3"/>
    <w:rsid w:val="00630CFE"/>
    <w:rsid w:val="00887450"/>
    <w:rsid w:val="00945C31"/>
    <w:rsid w:val="00AB2C36"/>
    <w:rsid w:val="00B27326"/>
    <w:rsid w:val="00C17D8A"/>
    <w:rsid w:val="00E57FCA"/>
    <w:rsid w:val="00EC6AE0"/>
    <w:rsid w:val="00F01B0C"/>
    <w:rsid w:val="00FD0323"/>
    <w:rsid w:val="025E010E"/>
    <w:rsid w:val="02DCAEAD"/>
    <w:rsid w:val="040BFC35"/>
    <w:rsid w:val="0779B6EF"/>
    <w:rsid w:val="0F643BD0"/>
    <w:rsid w:val="1659F7EE"/>
    <w:rsid w:val="1918708F"/>
    <w:rsid w:val="1A5F1FDB"/>
    <w:rsid w:val="1FBFC0F2"/>
    <w:rsid w:val="2256A959"/>
    <w:rsid w:val="248E1505"/>
    <w:rsid w:val="2715DFB5"/>
    <w:rsid w:val="27CAD2D7"/>
    <w:rsid w:val="2875B0BB"/>
    <w:rsid w:val="406C10A0"/>
    <w:rsid w:val="43B91BDC"/>
    <w:rsid w:val="574ED8E0"/>
    <w:rsid w:val="57EE3819"/>
    <w:rsid w:val="57FED3D4"/>
    <w:rsid w:val="5B5E43C2"/>
    <w:rsid w:val="5C0E3EB6"/>
    <w:rsid w:val="60F15F65"/>
    <w:rsid w:val="613A7A9E"/>
    <w:rsid w:val="61B073A6"/>
    <w:rsid w:val="62F59ACE"/>
    <w:rsid w:val="66516620"/>
    <w:rsid w:val="669FDD1C"/>
    <w:rsid w:val="6C6B23E2"/>
    <w:rsid w:val="737C559A"/>
    <w:rsid w:val="75CE153C"/>
    <w:rsid w:val="7841AFBD"/>
    <w:rsid w:val="7905B5FE"/>
    <w:rsid w:val="7AA1865F"/>
    <w:rsid w:val="7B518153"/>
    <w:rsid w:val="7E97C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AEAD"/>
  <w15:chartTrackingRefBased/>
  <w15:docId w15:val="{E72F51DC-8BB5-4CD9-9D28-8F14448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40BFC35"/>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2355CA"/>
    <w:rPr>
      <w:sz w:val="16"/>
      <w:szCs w:val="16"/>
    </w:rPr>
  </w:style>
  <w:style w:type="paragraph" w:styleId="Textocomentario">
    <w:name w:val="annotation text"/>
    <w:basedOn w:val="Normal"/>
    <w:link w:val="TextocomentarioCar"/>
    <w:uiPriority w:val="99"/>
    <w:semiHidden/>
    <w:unhideWhenUsed/>
    <w:rsid w:val="002355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55CA"/>
    <w:rPr>
      <w:sz w:val="20"/>
      <w:szCs w:val="20"/>
    </w:rPr>
  </w:style>
  <w:style w:type="paragraph" w:styleId="Asuntodelcomentario">
    <w:name w:val="annotation subject"/>
    <w:basedOn w:val="Textocomentario"/>
    <w:next w:val="Textocomentario"/>
    <w:link w:val="AsuntodelcomentarioCar"/>
    <w:uiPriority w:val="99"/>
    <w:semiHidden/>
    <w:unhideWhenUsed/>
    <w:rsid w:val="002355CA"/>
    <w:rPr>
      <w:b/>
      <w:bCs/>
    </w:rPr>
  </w:style>
  <w:style w:type="character" w:customStyle="1" w:styleId="AsuntodelcomentarioCar">
    <w:name w:val="Asunto del comentario Car"/>
    <w:basedOn w:val="TextocomentarioCar"/>
    <w:link w:val="Asuntodelcomentario"/>
    <w:uiPriority w:val="99"/>
    <w:semiHidden/>
    <w:rsid w:val="002355CA"/>
    <w:rPr>
      <w:b/>
      <w:bCs/>
      <w:sz w:val="20"/>
      <w:szCs w:val="20"/>
    </w:rPr>
  </w:style>
  <w:style w:type="paragraph" w:styleId="Textodeglobo">
    <w:name w:val="Balloon Text"/>
    <w:basedOn w:val="Normal"/>
    <w:link w:val="TextodegloboCar"/>
    <w:uiPriority w:val="99"/>
    <w:semiHidden/>
    <w:unhideWhenUsed/>
    <w:rsid w:val="00235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5CA"/>
    <w:rPr>
      <w:rFonts w:ascii="Segoe UI" w:hAnsi="Segoe UI" w:cs="Segoe UI"/>
      <w:sz w:val="18"/>
      <w:szCs w:val="18"/>
    </w:rPr>
  </w:style>
  <w:style w:type="table" w:customStyle="1" w:styleId="Tablaconcuadrcula1">
    <w:name w:val="Tabla con cuadrícula1"/>
    <w:basedOn w:val="Tablanormal"/>
    <w:next w:val="Tablaconcuadrcula"/>
    <w:uiPriority w:val="59"/>
    <w:rsid w:val="003E369D"/>
    <w:pPr>
      <w:spacing w:after="0" w:line="240" w:lineRule="auto"/>
    </w:pPr>
    <w:rPr>
      <w:rFonts w:ascii="Times New Roman" w:eastAsia="Times New Roman" w:hAnsi="Times New Roman"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d2536ed6f5a54fa4" Type="http://schemas.microsoft.com/office/2016/09/relationships/commentsIds" Target="commentsIds.xml"/><Relationship Id="Rec886bd9da984b3c"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hyperlink" Target="mailto:co.tender@nrc.no" TargetMode="External"/><Relationship Id="rId4" Type="http://schemas.openxmlformats.org/officeDocument/2006/relationships/customXml" Target="../customXml/item4.xml"/><Relationship Id="rId9" Type="http://schemas.openxmlformats.org/officeDocument/2006/relationships/hyperlink" Target="https://childethics.com/ethic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ado xmlns="1d5fdff1-4fee-4df6-a7ec-fc9027fdd475">false</Revisado>
    <Observaciones xmlns="1d5fdff1-4fee-4df6-a7ec-fc9027fdd475" xsi:nil="true"/>
    <Oficina xmlns="1d5fdff1-4fee-4df6-a7ec-fc9027fdd475" xsi:nil="true"/>
    <Descripcion xmlns="1d5fdff1-4fee-4df6-a7ec-fc9027fdd475" xsi:nil="true"/>
    <Estado xmlns="1d5fdff1-4fee-4df6-a7ec-fc9027fdd475" xsi:nil="true"/>
    <Proyecto xmlns="1d5fdff1-4fee-4df6-a7ec-fc9027fdd4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B29D7A9BE984EB7A0183D4192C5BA" ma:contentTypeVersion="17" ma:contentTypeDescription="Create a new document." ma:contentTypeScope="" ma:versionID="4be01490d5cd4d05abfee49f14f7bd81">
  <xsd:schema xmlns:xsd="http://www.w3.org/2001/XMLSchema" xmlns:xs="http://www.w3.org/2001/XMLSchema" xmlns:p="http://schemas.microsoft.com/office/2006/metadata/properties" xmlns:ns2="1d5fdff1-4fee-4df6-a7ec-fc9027fdd475" xmlns:ns3="d01f3fdf-39b6-4986-94e6-ba3ad38292b9" targetNamespace="http://schemas.microsoft.com/office/2006/metadata/properties" ma:root="true" ma:fieldsID="ebd5dcc8d1e8d8fb24bfb2e2704fc77a" ns2:_="" ns3:_="">
    <xsd:import namespace="1d5fdff1-4fee-4df6-a7ec-fc9027fdd475"/>
    <xsd:import namespace="d01f3fdf-39b6-4986-94e6-ba3ad38292b9"/>
    <xsd:element name="properties">
      <xsd:complexType>
        <xsd:sequence>
          <xsd:element name="documentManagement">
            <xsd:complexType>
              <xsd:all>
                <xsd:element ref="ns2:MediaServiceMetadata" minOccurs="0"/>
                <xsd:element ref="ns2:MediaServiceFastMetadata" minOccurs="0"/>
                <xsd:element ref="ns2:Descripcion" minOccurs="0"/>
                <xsd:element ref="ns2:Proyecto" minOccurs="0"/>
                <xsd:element ref="ns2:Revisado" minOccurs="0"/>
                <xsd:element ref="ns2:Estado" minOccurs="0"/>
                <xsd:element ref="ns2:Observaciones" minOccurs="0"/>
                <xsd:element ref="ns2:Oficin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fdff1-4fee-4df6-a7ec-fc9027fd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on" ma:index="10" nillable="true" ma:displayName="Descripcion" ma:format="Dropdown" ma:internalName="Descripcion">
      <xsd:simpleType>
        <xsd:restriction base="dms:Text">
          <xsd:maxLength value="255"/>
        </xsd:restriction>
      </xsd:simpleType>
    </xsd:element>
    <xsd:element name="Proyecto" ma:index="11" nillable="true" ma:displayName="Proyecto" ma:format="Dropdown" ma:internalName="Proyecto">
      <xsd:simpleType>
        <xsd:restriction base="dms:Choice">
          <xsd:enumeration value="Choice 1"/>
          <xsd:enumeration value="Choice 2"/>
          <xsd:enumeration value="Choice 3"/>
        </xsd:restriction>
      </xsd:simpleType>
    </xsd:element>
    <xsd:element name="Revisado" ma:index="12" nillable="true" ma:displayName="Revisado" ma:default="0" ma:description="Indique el estado de revisión de soportes." ma:format="Dropdown" ma:internalName="Revisado">
      <xsd:simpleType>
        <xsd:restriction base="dms:Boolean"/>
      </xsd:simpleType>
    </xsd:element>
    <xsd:element name="Estado" ma:index="13" nillable="true" ma:displayName="Estado" ma:description="Indique el estado de revisión del proceso." ma:format="Dropdown" ma:internalName="Estado">
      <xsd:simpleType>
        <xsd:restriction base="dms:Choice">
          <xsd:enumeration value="Verificado"/>
          <xsd:enumeration value="Incompleto"/>
          <xsd:enumeration value="Pendiente"/>
        </xsd:restriction>
      </xsd:simpleType>
    </xsd:element>
    <xsd:element name="Observaciones" ma:index="14" nillable="true" ma:displayName="Observaciones" ma:description="Procedimiento Cancelado" ma:format="Dropdown" ma:internalName="Observaciones">
      <xsd:simpleType>
        <xsd:restriction base="dms:Text">
          <xsd:maxLength value="255"/>
        </xsd:restriction>
      </xsd:simpleType>
    </xsd:element>
    <xsd:element name="Oficina" ma:index="15" nillable="true" ma:displayName="Oficina" ma:format="Dropdown" ma:internalName="Oficina">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f3fdf-39b6-4986-94e6-ba3ad38292b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66E6-E69B-42BB-82A7-26236777D05D}">
  <ds:schemaRefs>
    <ds:schemaRef ds:uri="http://schemas.microsoft.com/office/2006/metadata/properties"/>
    <ds:schemaRef ds:uri="http://schemas.microsoft.com/office/infopath/2007/PartnerControls"/>
    <ds:schemaRef ds:uri="1d5fdff1-4fee-4df6-a7ec-fc9027fdd475"/>
  </ds:schemaRefs>
</ds:datastoreItem>
</file>

<file path=customXml/itemProps2.xml><?xml version="1.0" encoding="utf-8"?>
<ds:datastoreItem xmlns:ds="http://schemas.openxmlformats.org/officeDocument/2006/customXml" ds:itemID="{A2CB2673-0E55-4CBB-8968-6AA4C266BE79}">
  <ds:schemaRefs>
    <ds:schemaRef ds:uri="http://schemas.microsoft.com/sharepoint/v3/contenttype/forms"/>
  </ds:schemaRefs>
</ds:datastoreItem>
</file>

<file path=customXml/itemProps3.xml><?xml version="1.0" encoding="utf-8"?>
<ds:datastoreItem xmlns:ds="http://schemas.openxmlformats.org/officeDocument/2006/customXml" ds:itemID="{5B0A2B38-E691-4A14-98E2-F8849ACA0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fdff1-4fee-4df6-a7ec-fc9027fdd475"/>
    <ds:schemaRef ds:uri="d01f3fdf-39b6-4986-94e6-ba3ad382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AF326-F6ED-4651-BEF5-ADBB18E6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1763</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INTERIANO</dc:creator>
  <cp:keywords/>
  <dc:description/>
  <cp:lastModifiedBy>Silvi Catrina Forbes Dilbert</cp:lastModifiedBy>
  <cp:revision>17</cp:revision>
  <dcterms:created xsi:type="dcterms:W3CDTF">2021-08-31T19:02:00Z</dcterms:created>
  <dcterms:modified xsi:type="dcterms:W3CDTF">2021-10-11T01:05:00Z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0x010100DC6B29D7A9BE984EB7A0183D4192C5BA</vt:lpwstr>
  </property>
</Properties>
</file>