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E0A5" w14:textId="77777777" w:rsidR="002E45BE" w:rsidRDefault="002E45BE" w:rsidP="002E45BE">
      <w:pPr>
        <w:suppressAutoHyphens/>
        <w:jc w:val="center"/>
        <w:rPr>
          <w:rFonts w:cstheme="minorHAnsi"/>
          <w:b/>
          <w:sz w:val="32"/>
          <w:szCs w:val="32"/>
        </w:rPr>
      </w:pPr>
      <w:r w:rsidRPr="00E90C58">
        <w:rPr>
          <w:rFonts w:cstheme="minorHAnsi"/>
          <w:b/>
          <w:sz w:val="32"/>
          <w:szCs w:val="32"/>
        </w:rPr>
        <w:t>Terms of Reference – Invitation to Bid</w:t>
      </w:r>
    </w:p>
    <w:p w14:paraId="06CBDE5B" w14:textId="77777777" w:rsidR="002E45BE" w:rsidRDefault="002E45BE" w:rsidP="002E45BE">
      <w:pPr>
        <w:suppressAutoHyphens/>
        <w:jc w:val="center"/>
        <w:rPr>
          <w:rFonts w:cstheme="minorHAnsi"/>
          <w:b/>
          <w:sz w:val="32"/>
          <w:szCs w:val="32"/>
        </w:rPr>
      </w:pPr>
      <w:r>
        <w:rPr>
          <w:rFonts w:cstheme="minorHAnsi"/>
          <w:b/>
          <w:sz w:val="32"/>
          <w:szCs w:val="32"/>
        </w:rPr>
        <w:t>Research Consultant(s)</w:t>
      </w:r>
    </w:p>
    <w:p w14:paraId="57ABFE91" w14:textId="6C31BA55" w:rsidR="002E45BE" w:rsidRDefault="002E45BE" w:rsidP="002E45BE">
      <w:pPr>
        <w:spacing w:after="0" w:line="240" w:lineRule="auto"/>
        <w:rPr>
          <w:rFonts w:ascii="Calibri" w:eastAsia="Times New Roman" w:hAnsi="Calibri" w:cs="Calibri"/>
          <w:b/>
          <w:sz w:val="20"/>
          <w:szCs w:val="20"/>
          <w:lang w:val="en-GB" w:eastAsia="nb-NO"/>
        </w:rPr>
      </w:pPr>
      <w:r w:rsidRPr="0034231F">
        <w:rPr>
          <w:rFonts w:ascii="Calibri" w:eastAsia="Times New Roman" w:hAnsi="Calibri" w:cs="Calibri"/>
          <w:b/>
          <w:sz w:val="20"/>
          <w:szCs w:val="20"/>
          <w:lang w:val="en-GB" w:eastAsia="nb-NO"/>
        </w:rPr>
        <w:t xml:space="preserve">TITLE:    </w:t>
      </w:r>
      <w:r w:rsidRPr="0034231F">
        <w:rPr>
          <w:rFonts w:ascii="Calibri" w:eastAsia="Times New Roman" w:hAnsi="Calibri" w:cs="Calibri"/>
          <w:b/>
          <w:sz w:val="20"/>
          <w:szCs w:val="20"/>
          <w:lang w:val="en-GB" w:eastAsia="nb-NO"/>
        </w:rPr>
        <w:tab/>
      </w:r>
      <w:r>
        <w:rPr>
          <w:rFonts w:ascii="Calibri" w:eastAsia="Times New Roman" w:hAnsi="Calibri" w:cs="Calibri"/>
          <w:b/>
          <w:sz w:val="20"/>
          <w:szCs w:val="20"/>
          <w:lang w:val="en-GB" w:eastAsia="nb-NO"/>
        </w:rPr>
        <w:t xml:space="preserve">                                </w:t>
      </w:r>
      <w:r w:rsidRPr="002E45BE">
        <w:rPr>
          <w:rFonts w:ascii="Calibri" w:eastAsia="Times New Roman" w:hAnsi="Calibri" w:cs="Calibri"/>
          <w:b/>
          <w:sz w:val="20"/>
          <w:szCs w:val="20"/>
          <w:lang w:val="en-GB" w:eastAsia="nb-NO"/>
        </w:rPr>
        <w:t>BLP Implementation Guidelines</w:t>
      </w:r>
    </w:p>
    <w:p w14:paraId="127CD179" w14:textId="007AB259" w:rsidR="002E45BE" w:rsidRPr="0034231F" w:rsidRDefault="002E45BE" w:rsidP="002E45BE">
      <w:pPr>
        <w:spacing w:after="0" w:line="240" w:lineRule="auto"/>
        <w:rPr>
          <w:rFonts w:ascii="Calibri" w:eastAsia="Times New Roman" w:hAnsi="Calibri" w:cs="Calibri"/>
          <w:b/>
          <w:sz w:val="20"/>
          <w:szCs w:val="20"/>
          <w:lang w:val="en-GB" w:eastAsia="nb-NO"/>
        </w:rPr>
      </w:pPr>
      <w:r w:rsidRPr="0034231F">
        <w:rPr>
          <w:rFonts w:ascii="Calibri" w:eastAsia="Times New Roman" w:hAnsi="Calibri" w:cs="Calibri"/>
          <w:b/>
          <w:sz w:val="20"/>
          <w:szCs w:val="20"/>
          <w:lang w:val="en-GB" w:eastAsia="nb-NO"/>
        </w:rPr>
        <w:t xml:space="preserve">DUTY STATION:     </w:t>
      </w:r>
      <w:r w:rsidRPr="0034231F">
        <w:rPr>
          <w:rFonts w:ascii="Calibri" w:eastAsia="Times New Roman" w:hAnsi="Calibri" w:cs="Calibri"/>
          <w:b/>
          <w:sz w:val="20"/>
          <w:szCs w:val="20"/>
          <w:lang w:val="en-GB" w:eastAsia="nb-NO"/>
        </w:rPr>
        <w:tab/>
      </w:r>
      <w:r w:rsidRPr="00AA477D">
        <w:rPr>
          <w:rFonts w:ascii="Calibri" w:eastAsia="Times New Roman" w:hAnsi="Calibri" w:cs="Calibri"/>
          <w:b/>
          <w:sz w:val="20"/>
          <w:szCs w:val="20"/>
          <w:lang w:val="en-GB" w:eastAsia="nb-NO"/>
        </w:rPr>
        <w:t xml:space="preserve">Home based </w:t>
      </w:r>
    </w:p>
    <w:p w14:paraId="561DF650" w14:textId="5FFB1C52" w:rsidR="002E45BE" w:rsidRPr="002E45BE" w:rsidRDefault="002E45BE" w:rsidP="002E45BE">
      <w:pPr>
        <w:spacing w:after="0" w:line="240" w:lineRule="auto"/>
        <w:rPr>
          <w:rFonts w:ascii="Calibri" w:eastAsia="Times New Roman" w:hAnsi="Calibri" w:cs="Calibri"/>
          <w:b/>
          <w:sz w:val="20"/>
          <w:szCs w:val="20"/>
          <w:lang w:val="en-GB" w:eastAsia="nb-NO"/>
        </w:rPr>
      </w:pPr>
      <w:r w:rsidRPr="0034231F">
        <w:rPr>
          <w:rFonts w:ascii="Calibri" w:eastAsia="Times New Roman" w:hAnsi="Calibri" w:cs="Calibri"/>
          <w:b/>
          <w:sz w:val="20"/>
          <w:szCs w:val="20"/>
          <w:lang w:val="en-GB" w:eastAsia="nb-NO"/>
        </w:rPr>
        <w:t xml:space="preserve">REPORTING TO:    </w:t>
      </w:r>
      <w:r w:rsidRPr="0034231F">
        <w:rPr>
          <w:rFonts w:ascii="Calibri" w:eastAsia="Times New Roman" w:hAnsi="Calibri" w:cs="Calibri"/>
          <w:b/>
          <w:sz w:val="20"/>
          <w:szCs w:val="20"/>
          <w:lang w:val="en-GB" w:eastAsia="nb-NO"/>
        </w:rPr>
        <w:tab/>
      </w:r>
      <w:r w:rsidR="00AA477D" w:rsidRPr="00AA477D">
        <w:rPr>
          <w:rFonts w:ascii="Calibri" w:eastAsia="Times New Roman" w:hAnsi="Calibri" w:cs="Calibri"/>
          <w:b/>
          <w:sz w:val="20"/>
          <w:szCs w:val="20"/>
          <w:lang w:val="en-GB" w:eastAsia="nb-NO"/>
        </w:rPr>
        <w:t>PSS/SEL Regional</w:t>
      </w:r>
      <w:r w:rsidRPr="00AA477D">
        <w:rPr>
          <w:rFonts w:ascii="Calibri" w:eastAsia="Times New Roman" w:hAnsi="Calibri" w:cs="Calibri"/>
          <w:b/>
          <w:sz w:val="20"/>
          <w:szCs w:val="20"/>
          <w:lang w:val="en-GB" w:eastAsia="nb-NO"/>
        </w:rPr>
        <w:t xml:space="preserve"> Adviser</w:t>
      </w:r>
    </w:p>
    <w:p w14:paraId="2BA17AAD" w14:textId="0565D65D" w:rsidR="00B37129" w:rsidRDefault="00B37129" w:rsidP="002E45BE">
      <w:pPr>
        <w:keepNext/>
        <w:keepLines/>
        <w:pBdr>
          <w:top w:val="single" w:sz="4" w:space="1" w:color="FF7602"/>
        </w:pBdr>
        <w:tabs>
          <w:tab w:val="left" w:pos="8816"/>
        </w:tabs>
        <w:spacing w:before="182" w:after="480" w:line="259" w:lineRule="auto"/>
        <w:outlineLvl w:val="0"/>
        <w:rPr>
          <w:rFonts w:ascii="Franklin Gothic Book" w:eastAsia="MS Gothic" w:hAnsi="Franklin Gothic Book" w:cs="Times New Roman"/>
          <w:color w:val="FF7602"/>
          <w:sz w:val="36"/>
          <w:szCs w:val="32"/>
          <w:lang w:val="en-GB"/>
        </w:rPr>
      </w:pPr>
    </w:p>
    <w:p w14:paraId="4BA69C9B" w14:textId="77777777" w:rsidR="00183F19" w:rsidRDefault="00183F19" w:rsidP="00183F19">
      <w:pPr>
        <w:rPr>
          <w:rFonts w:cstheme="minorHAnsi"/>
          <w:b/>
        </w:rPr>
      </w:pPr>
      <w:r w:rsidRPr="455219B6">
        <w:rPr>
          <w:b/>
          <w:bCs/>
        </w:rPr>
        <w:t xml:space="preserve">1. Consultancy assignment background </w:t>
      </w:r>
    </w:p>
    <w:p w14:paraId="51D2BC2D" w14:textId="77777777" w:rsidR="00183F19" w:rsidRPr="005366B7" w:rsidRDefault="00183F19" w:rsidP="00183F19">
      <w:pPr>
        <w:pStyle w:val="TestoInterno"/>
        <w:jc w:val="both"/>
        <w:rPr>
          <w:rFonts w:eastAsiaTheme="minorEastAsia"/>
          <w:sz w:val="20"/>
          <w:szCs w:val="20"/>
        </w:rPr>
      </w:pPr>
      <w:r w:rsidRPr="7A01FF0C">
        <w:rPr>
          <w:rFonts w:eastAsiaTheme="minorEastAsia"/>
          <w:sz w:val="20"/>
          <w:szCs w:val="20"/>
        </w:rPr>
        <w:t xml:space="preserve">The Norwegian Refugee Council (NRC) is an independent humanitarian organisation helping people forced to flee. We deliver high quality aid where needs are greatest. We work in both new emergencies and protracted crises across 31 countries, where we provide camp management, food assistance, clean water, shelter, legal aid, and education. NRC is a determined advocate for displaced people. We promote and defend displaced people's rights and dignity in local communities, with national governments and in the international arena. Our expert deployment capacity NORCAP, stand ready to deploy at a moment’s notice to support the UN and local authorities in humanitarian crises. </w:t>
      </w:r>
    </w:p>
    <w:p w14:paraId="1C89EA55" w14:textId="77777777" w:rsidR="00183F19" w:rsidRPr="005366B7" w:rsidRDefault="00183F19" w:rsidP="00183F19">
      <w:pPr>
        <w:pStyle w:val="TestoInterno"/>
        <w:jc w:val="both"/>
        <w:rPr>
          <w:rFonts w:eastAsiaTheme="minorEastAsia"/>
          <w:sz w:val="20"/>
          <w:szCs w:val="20"/>
        </w:rPr>
      </w:pPr>
      <w:r w:rsidRPr="7A01FF0C">
        <w:rPr>
          <w:rFonts w:eastAsiaTheme="minorEastAsia"/>
          <w:sz w:val="20"/>
          <w:szCs w:val="20"/>
        </w:rPr>
        <w:t>NRC is aiming to design BLP Implementation Guidelines under the multi-year regional Better Learning Programme (BLP) intervention started in January 2019 and ending in December 2021.</w:t>
      </w:r>
    </w:p>
    <w:p w14:paraId="71EF8C80" w14:textId="77777777" w:rsidR="00183F19" w:rsidRPr="005366B7" w:rsidRDefault="00183F19" w:rsidP="00183F19">
      <w:pPr>
        <w:pStyle w:val="TestoInterno"/>
        <w:jc w:val="both"/>
        <w:rPr>
          <w:rFonts w:eastAsiaTheme="minorEastAsia"/>
          <w:sz w:val="20"/>
          <w:szCs w:val="20"/>
        </w:rPr>
      </w:pPr>
      <w:r w:rsidRPr="455219B6">
        <w:rPr>
          <w:rFonts w:eastAsiaTheme="minorEastAsia"/>
          <w:sz w:val="20"/>
          <w:szCs w:val="20"/>
        </w:rPr>
        <w:t xml:space="preserve">The overall goal of the regional BLP intervention is to institutionalise NRC’s flagship PSS/SEL programming, known as the BLP, across its own education responses, and to establish a solid foundation for supporting the institutionalisation of non-specialised PSS/SEL into education systems and structures across the region. </w:t>
      </w:r>
    </w:p>
    <w:p w14:paraId="0DEE1199" w14:textId="5FB6442F" w:rsidR="00183F19" w:rsidRPr="005366B7" w:rsidRDefault="00183F19" w:rsidP="00183F19">
      <w:pPr>
        <w:pStyle w:val="TestoInterno"/>
        <w:jc w:val="both"/>
        <w:rPr>
          <w:rFonts w:eastAsiaTheme="minorEastAsia"/>
          <w:sz w:val="20"/>
          <w:szCs w:val="20"/>
        </w:rPr>
      </w:pPr>
      <w:r w:rsidRPr="455219B6">
        <w:rPr>
          <w:rFonts w:eastAsiaTheme="minorEastAsia"/>
          <w:sz w:val="20"/>
          <w:szCs w:val="20"/>
        </w:rPr>
        <w:t>BLP focuses on improving pupils’ learning capacity by integrating techniques for coping with traumatic stress into daily teaching and learning, and encouraging pupils’ natural recovery</w:t>
      </w:r>
      <w:r w:rsidRPr="455219B6">
        <w:rPr>
          <w:rFonts w:eastAsiaTheme="minorEastAsia"/>
        </w:rPr>
        <w:footnoteReference w:id="1"/>
      </w:r>
      <w:r w:rsidRPr="455219B6">
        <w:rPr>
          <w:rFonts w:eastAsiaTheme="minorEastAsia"/>
          <w:sz w:val="20"/>
          <w:szCs w:val="20"/>
        </w:rPr>
        <w:t>. BLP consists of three components of programme intervention namely BLP1, BLP2 and BLP3</w:t>
      </w:r>
      <w:r w:rsidRPr="455219B6">
        <w:rPr>
          <w:rFonts w:eastAsiaTheme="minorEastAsia"/>
        </w:rPr>
        <w:footnoteReference w:id="2"/>
      </w:r>
      <w:r w:rsidRPr="455219B6">
        <w:rPr>
          <w:rFonts w:eastAsiaTheme="minorEastAsia"/>
          <w:sz w:val="20"/>
          <w:szCs w:val="20"/>
        </w:rPr>
        <w:t xml:space="preserve">. While BLP1 and BLP2 modules are implemented throughout the Middle East region (MERO), BLP3 is run only in those programmes where NRC has the institutional capacity and dedicated technical resources in place (e.g. Palestine and Jordan). BLP is the product of a successful, long-standing, research-practice collaboration between NRC and the University of </w:t>
      </w:r>
      <w:proofErr w:type="spellStart"/>
      <w:r w:rsidRPr="455219B6">
        <w:rPr>
          <w:rFonts w:eastAsiaTheme="minorEastAsia"/>
          <w:sz w:val="20"/>
          <w:szCs w:val="20"/>
        </w:rPr>
        <w:t>Tromsø</w:t>
      </w:r>
      <w:proofErr w:type="spellEnd"/>
      <w:r w:rsidRPr="455219B6">
        <w:rPr>
          <w:rFonts w:eastAsiaTheme="minorEastAsia"/>
          <w:sz w:val="20"/>
          <w:szCs w:val="20"/>
        </w:rPr>
        <w:t xml:space="preserve"> (</w:t>
      </w:r>
      <w:proofErr w:type="spellStart"/>
      <w:r w:rsidRPr="455219B6">
        <w:rPr>
          <w:rFonts w:eastAsiaTheme="minorEastAsia"/>
          <w:sz w:val="20"/>
          <w:szCs w:val="20"/>
        </w:rPr>
        <w:t>UiT</w:t>
      </w:r>
      <w:proofErr w:type="spellEnd"/>
      <w:r w:rsidRPr="455219B6">
        <w:rPr>
          <w:rFonts w:eastAsiaTheme="minorEastAsia"/>
          <w:sz w:val="20"/>
          <w:szCs w:val="20"/>
        </w:rPr>
        <w:t xml:space="preserve">) in Norway. </w:t>
      </w:r>
    </w:p>
    <w:p w14:paraId="0125E13E" w14:textId="77777777" w:rsidR="00183F19" w:rsidRPr="005366B7" w:rsidRDefault="00183F19" w:rsidP="00183F19">
      <w:pPr>
        <w:pStyle w:val="TestoInterno"/>
        <w:jc w:val="both"/>
        <w:rPr>
          <w:rFonts w:eastAsiaTheme="minorEastAsia"/>
          <w:sz w:val="20"/>
          <w:szCs w:val="20"/>
        </w:rPr>
      </w:pPr>
      <w:r w:rsidRPr="455219B6">
        <w:rPr>
          <w:rFonts w:eastAsiaTheme="minorEastAsia"/>
          <w:sz w:val="20"/>
          <w:szCs w:val="20"/>
        </w:rPr>
        <w:t>The BLP regional project responds to the key findings and recommendations outlined in the Scoping Paper</w:t>
      </w:r>
      <w:r w:rsidRPr="455219B6">
        <w:rPr>
          <w:rFonts w:eastAsiaTheme="minorEastAsia"/>
        </w:rPr>
        <w:footnoteReference w:id="3"/>
      </w:r>
      <w:r w:rsidRPr="455219B6">
        <w:rPr>
          <w:rFonts w:eastAsiaTheme="minorEastAsia"/>
          <w:sz w:val="20"/>
          <w:szCs w:val="20"/>
        </w:rPr>
        <w:t xml:space="preserve"> and the following  expected outcomes: </w:t>
      </w:r>
    </w:p>
    <w:p w14:paraId="253EC604" w14:textId="77777777" w:rsidR="00183F19" w:rsidRPr="005366B7" w:rsidRDefault="00183F19" w:rsidP="008736DC">
      <w:pPr>
        <w:pStyle w:val="TestoInterno"/>
        <w:numPr>
          <w:ilvl w:val="0"/>
          <w:numId w:val="2"/>
        </w:numPr>
        <w:jc w:val="both"/>
        <w:rPr>
          <w:rFonts w:eastAsiaTheme="minorEastAsia"/>
          <w:color w:val="000000"/>
          <w:sz w:val="20"/>
          <w:szCs w:val="20"/>
        </w:rPr>
      </w:pPr>
      <w:r w:rsidRPr="455219B6">
        <w:rPr>
          <w:rFonts w:eastAsiaTheme="minorEastAsia"/>
          <w:sz w:val="20"/>
          <w:szCs w:val="20"/>
        </w:rPr>
        <w:t>NRC has strengthened regional capacity for the implementation of BLP 1 and 2 in its own education programming;</w:t>
      </w:r>
    </w:p>
    <w:p w14:paraId="743F4DA9" w14:textId="77777777" w:rsidR="00183F19" w:rsidRPr="005366B7" w:rsidRDefault="00183F19" w:rsidP="008736DC">
      <w:pPr>
        <w:pStyle w:val="TestoInterno"/>
        <w:numPr>
          <w:ilvl w:val="0"/>
          <w:numId w:val="2"/>
        </w:numPr>
        <w:jc w:val="both"/>
        <w:rPr>
          <w:rFonts w:eastAsiaTheme="minorEastAsia"/>
          <w:color w:val="000000"/>
          <w:sz w:val="20"/>
          <w:szCs w:val="20"/>
        </w:rPr>
      </w:pPr>
      <w:r w:rsidRPr="455219B6">
        <w:rPr>
          <w:rFonts w:eastAsiaTheme="minorEastAsia"/>
          <w:sz w:val="20"/>
          <w:szCs w:val="20"/>
        </w:rPr>
        <w:t xml:space="preserve">NRC has established a credible, sound basis for measuring the impacts of BLP 1 and 2 on student well-being, and is contributing to the evidence base on the links between student well-being and learning outcomes; </w:t>
      </w:r>
    </w:p>
    <w:p w14:paraId="3B93394E" w14:textId="77777777" w:rsidR="00183F19" w:rsidRPr="005366B7" w:rsidRDefault="00183F19" w:rsidP="008736DC">
      <w:pPr>
        <w:pStyle w:val="TestoInterno"/>
        <w:numPr>
          <w:ilvl w:val="0"/>
          <w:numId w:val="2"/>
        </w:numPr>
        <w:jc w:val="both"/>
        <w:rPr>
          <w:rFonts w:eastAsiaTheme="minorEastAsia"/>
          <w:color w:val="000000"/>
          <w:sz w:val="20"/>
          <w:szCs w:val="20"/>
        </w:rPr>
      </w:pPr>
      <w:r w:rsidRPr="455219B6">
        <w:rPr>
          <w:rFonts w:eastAsiaTheme="minorEastAsia"/>
          <w:sz w:val="20"/>
          <w:szCs w:val="20"/>
        </w:rPr>
        <w:t xml:space="preserve">Based on a track record of high quality BLP implementation, tools and research, NRC serves as a regional resource and advocate for inclusion of PSS/SEL in formal and informal education classrooms, and in education systems and structures, working in close collaboration with education providers. </w:t>
      </w:r>
    </w:p>
    <w:p w14:paraId="135D9318" w14:textId="77777777" w:rsidR="00183F19" w:rsidRPr="004A7EC0" w:rsidRDefault="00183F19" w:rsidP="00183F19">
      <w:pPr>
        <w:rPr>
          <w:rFonts w:cstheme="minorHAnsi"/>
          <w:b/>
        </w:rPr>
      </w:pPr>
      <w:r>
        <w:rPr>
          <w:rFonts w:cstheme="minorHAnsi"/>
          <w:b/>
        </w:rPr>
        <w:lastRenderedPageBreak/>
        <w:t>2. Objectives and scope of work</w:t>
      </w:r>
    </w:p>
    <w:p w14:paraId="07E0CB53" w14:textId="77777777" w:rsidR="00183F19" w:rsidRPr="008C1AFD" w:rsidRDefault="00183F19" w:rsidP="00183F19">
      <w:pPr>
        <w:rPr>
          <w:rFonts w:cstheme="minorHAnsi"/>
          <w:b/>
        </w:rPr>
      </w:pPr>
      <w:r w:rsidRPr="455219B6">
        <w:rPr>
          <w:b/>
          <w:bCs/>
        </w:rPr>
        <w:t>Objectives</w:t>
      </w:r>
    </w:p>
    <w:p w14:paraId="55E4ED31" w14:textId="77777777" w:rsidR="00183F19" w:rsidRDefault="00183F19" w:rsidP="00183F19">
      <w:pPr>
        <w:pStyle w:val="TestoInterno"/>
        <w:jc w:val="both"/>
        <w:rPr>
          <w:rFonts w:eastAsiaTheme="minorEastAsia"/>
          <w:sz w:val="20"/>
          <w:szCs w:val="20"/>
        </w:rPr>
      </w:pPr>
      <w:r w:rsidRPr="455219B6">
        <w:rPr>
          <w:rFonts w:eastAsiaTheme="minorEastAsia"/>
          <w:sz w:val="20"/>
          <w:szCs w:val="20"/>
        </w:rPr>
        <w:t xml:space="preserve">The Better Learning Programme is NRC PSS flagship programme. Since the MERO BLP regional project is unique across NRC, it is expected that it will provide global guidance on a number of topics. As part of the ongoing regional BLP grant, NRC is expected to share the BLP package as an open source for </w:t>
      </w:r>
      <w:proofErr w:type="spellStart"/>
      <w:r w:rsidRPr="455219B6">
        <w:rPr>
          <w:rFonts w:eastAsiaTheme="minorEastAsia"/>
          <w:sz w:val="20"/>
          <w:szCs w:val="20"/>
        </w:rPr>
        <w:t>EiE</w:t>
      </w:r>
      <w:proofErr w:type="spellEnd"/>
      <w:r w:rsidRPr="455219B6">
        <w:rPr>
          <w:rFonts w:eastAsiaTheme="minorEastAsia"/>
          <w:sz w:val="20"/>
          <w:szCs w:val="20"/>
        </w:rPr>
        <w:t xml:space="preserve"> partners. The main objectives of this consultancy are to:</w:t>
      </w:r>
    </w:p>
    <w:p w14:paraId="1CE5E6AB" w14:textId="77777777" w:rsidR="00AA477D" w:rsidRDefault="00183F19" w:rsidP="00AA477D">
      <w:pPr>
        <w:pStyle w:val="TestoInterno"/>
        <w:numPr>
          <w:ilvl w:val="0"/>
          <w:numId w:val="10"/>
        </w:numPr>
        <w:jc w:val="both"/>
        <w:rPr>
          <w:rFonts w:eastAsiaTheme="minorEastAsia"/>
          <w:sz w:val="20"/>
          <w:szCs w:val="20"/>
        </w:rPr>
      </w:pPr>
      <w:r w:rsidRPr="00AA477D">
        <w:rPr>
          <w:rFonts w:eastAsiaTheme="minorEastAsia"/>
          <w:sz w:val="20"/>
          <w:szCs w:val="20"/>
        </w:rPr>
        <w:t>Set the foundations to support NRC MERO and other NRC countries of operation in defining BLP standard operation procedures;</w:t>
      </w:r>
    </w:p>
    <w:p w14:paraId="27C05D4D" w14:textId="77777777" w:rsidR="00AA477D" w:rsidRDefault="00183F19" w:rsidP="00AA477D">
      <w:pPr>
        <w:pStyle w:val="TestoInterno"/>
        <w:numPr>
          <w:ilvl w:val="0"/>
          <w:numId w:val="10"/>
        </w:numPr>
        <w:jc w:val="both"/>
        <w:rPr>
          <w:rFonts w:eastAsiaTheme="minorEastAsia"/>
          <w:sz w:val="20"/>
          <w:szCs w:val="20"/>
        </w:rPr>
      </w:pPr>
      <w:r w:rsidRPr="00AA477D">
        <w:rPr>
          <w:rFonts w:eastAsiaTheme="minorEastAsia"/>
          <w:sz w:val="20"/>
          <w:szCs w:val="20"/>
        </w:rPr>
        <w:t xml:space="preserve"> Guide both in the design and start-up of new BLP interventions; </w:t>
      </w:r>
    </w:p>
    <w:p w14:paraId="7C6E9D55" w14:textId="3BD2F9A7" w:rsidR="00183F19" w:rsidRPr="00AA477D" w:rsidRDefault="00183F19" w:rsidP="00AA477D">
      <w:pPr>
        <w:pStyle w:val="TestoInterno"/>
        <w:numPr>
          <w:ilvl w:val="0"/>
          <w:numId w:val="10"/>
        </w:numPr>
        <w:jc w:val="both"/>
        <w:rPr>
          <w:rFonts w:eastAsiaTheme="minorEastAsia"/>
          <w:sz w:val="20"/>
          <w:szCs w:val="20"/>
        </w:rPr>
      </w:pPr>
      <w:r w:rsidRPr="00AA477D">
        <w:rPr>
          <w:rFonts w:eastAsiaTheme="minorEastAsia"/>
          <w:sz w:val="20"/>
          <w:szCs w:val="20"/>
        </w:rPr>
        <w:t xml:space="preserve">Provide support in ongoing BLP interventions: defining capacity building frameworks and strategies to institutionalise the BLP. </w:t>
      </w:r>
    </w:p>
    <w:p w14:paraId="2D91AE93" w14:textId="77777777" w:rsidR="00AA477D" w:rsidRDefault="00AA477D" w:rsidP="00183F19">
      <w:pPr>
        <w:pStyle w:val="TestoInterno"/>
        <w:jc w:val="both"/>
        <w:rPr>
          <w:rFonts w:eastAsiaTheme="minorEastAsia"/>
          <w:sz w:val="20"/>
          <w:szCs w:val="20"/>
        </w:rPr>
      </w:pPr>
    </w:p>
    <w:p w14:paraId="3A96BA2B" w14:textId="19C82073" w:rsidR="00183F19" w:rsidRPr="00A53A82" w:rsidRDefault="00183F19" w:rsidP="00183F19">
      <w:pPr>
        <w:pStyle w:val="TestoInterno"/>
        <w:jc w:val="both"/>
        <w:rPr>
          <w:rFonts w:eastAsiaTheme="minorEastAsia"/>
          <w:sz w:val="20"/>
          <w:szCs w:val="20"/>
        </w:rPr>
      </w:pPr>
      <w:r w:rsidRPr="455219B6">
        <w:rPr>
          <w:rFonts w:eastAsiaTheme="minorEastAsia"/>
          <w:sz w:val="20"/>
          <w:szCs w:val="20"/>
        </w:rPr>
        <w:t xml:space="preserve">The guidelines draft outline is found in the below section. </w:t>
      </w:r>
    </w:p>
    <w:p w14:paraId="4370D9DD" w14:textId="77777777" w:rsidR="00183F19" w:rsidRPr="00AA477D" w:rsidRDefault="00183F19" w:rsidP="00183F19">
      <w:pPr>
        <w:rPr>
          <w:b/>
          <w:bCs/>
        </w:rPr>
      </w:pPr>
      <w:r w:rsidRPr="00AA477D">
        <w:rPr>
          <w:b/>
          <w:bCs/>
        </w:rPr>
        <w:t>Scope of work</w:t>
      </w:r>
    </w:p>
    <w:p w14:paraId="78C8B1C4" w14:textId="4BFC05FB" w:rsidR="00183F19" w:rsidRPr="00AA477D" w:rsidRDefault="00183F19" w:rsidP="00AA477D">
      <w:pPr>
        <w:spacing w:after="0" w:line="240" w:lineRule="auto"/>
        <w:jc w:val="both"/>
        <w:rPr>
          <w:rFonts w:cstheme="minorHAnsi"/>
          <w:sz w:val="20"/>
          <w:szCs w:val="20"/>
        </w:rPr>
      </w:pPr>
      <w:r w:rsidRPr="00AA477D">
        <w:rPr>
          <w:rFonts w:cstheme="minorHAnsi"/>
          <w:sz w:val="20"/>
          <w:szCs w:val="20"/>
        </w:rPr>
        <w:t>The consultancy will be home based and wil</w:t>
      </w:r>
      <w:r w:rsidR="00AA477D">
        <w:rPr>
          <w:rFonts w:cstheme="minorHAnsi"/>
          <w:sz w:val="20"/>
          <w:szCs w:val="20"/>
        </w:rPr>
        <w:t>l last for a period of 37 days</w:t>
      </w:r>
      <w:r w:rsidRPr="00AA477D">
        <w:rPr>
          <w:rFonts w:cstheme="minorHAnsi"/>
          <w:sz w:val="20"/>
          <w:szCs w:val="20"/>
        </w:rPr>
        <w:t xml:space="preserve">. The consultant will interview a number of stakeholders both internal (NRC country offices and Head Quarter) and external (INEE, UNRWA, Ministries of Education </w:t>
      </w:r>
      <w:proofErr w:type="spellStart"/>
      <w:r w:rsidRPr="00AA477D">
        <w:rPr>
          <w:rFonts w:cstheme="minorHAnsi"/>
          <w:sz w:val="20"/>
          <w:szCs w:val="20"/>
        </w:rPr>
        <w:t>etc</w:t>
      </w:r>
      <w:proofErr w:type="spellEnd"/>
      <w:r w:rsidRPr="00AA477D">
        <w:rPr>
          <w:rFonts w:cstheme="minorHAnsi"/>
          <w:sz w:val="20"/>
          <w:szCs w:val="20"/>
        </w:rPr>
        <w:t xml:space="preserve">). The consultancy will be in English language and aligned with the terminology of the reference documents below. High coordination and management tasks/skills will be required. </w:t>
      </w:r>
    </w:p>
    <w:p w14:paraId="4658B52C" w14:textId="77777777" w:rsidR="00183F19" w:rsidRPr="00AA477D" w:rsidRDefault="00183F19" w:rsidP="00AA477D">
      <w:pPr>
        <w:spacing w:after="0" w:line="240" w:lineRule="auto"/>
        <w:jc w:val="both"/>
        <w:rPr>
          <w:rFonts w:cstheme="minorHAnsi"/>
          <w:sz w:val="20"/>
          <w:szCs w:val="20"/>
        </w:rPr>
      </w:pPr>
    </w:p>
    <w:p w14:paraId="188317BE" w14:textId="5B200136" w:rsidR="00183F19" w:rsidRPr="00AA477D" w:rsidRDefault="00183F19" w:rsidP="00AA477D">
      <w:pPr>
        <w:spacing w:after="0" w:line="240" w:lineRule="auto"/>
        <w:jc w:val="both"/>
        <w:rPr>
          <w:rFonts w:cstheme="minorHAnsi"/>
          <w:sz w:val="20"/>
          <w:szCs w:val="20"/>
        </w:rPr>
      </w:pPr>
      <w:r w:rsidRPr="00AA477D">
        <w:rPr>
          <w:rFonts w:cstheme="minorHAnsi"/>
          <w:sz w:val="20"/>
          <w:szCs w:val="20"/>
        </w:rPr>
        <w:t>The BLP Implementation Guidelines will be initially used for NRC staff implementing BLP in the MERO region and across the globe. In later stages they may be used also by partners who will have received capacity building to implement BLP. The Implementation Guidelines will be developed following a similar structure to the INEE Minimum Standards booklet (with domains, summaries and easily accessible visual layouts) focusing on the below tasks and draft outline shown in the below section.</w:t>
      </w:r>
    </w:p>
    <w:p w14:paraId="7832815A" w14:textId="77777777" w:rsidR="00183F19" w:rsidRPr="00AA477D" w:rsidRDefault="00183F19" w:rsidP="00AA477D">
      <w:pPr>
        <w:spacing w:after="0" w:line="240" w:lineRule="auto"/>
        <w:jc w:val="both"/>
        <w:rPr>
          <w:rFonts w:cstheme="minorHAnsi"/>
          <w:sz w:val="20"/>
          <w:szCs w:val="20"/>
        </w:rPr>
      </w:pPr>
    </w:p>
    <w:p w14:paraId="449955C7" w14:textId="77777777" w:rsidR="00183F19" w:rsidRPr="00AA477D" w:rsidRDefault="00183F19" w:rsidP="00AA477D">
      <w:pPr>
        <w:spacing w:after="0" w:line="240" w:lineRule="auto"/>
        <w:jc w:val="both"/>
        <w:rPr>
          <w:rFonts w:cstheme="minorHAnsi"/>
          <w:sz w:val="20"/>
          <w:szCs w:val="20"/>
        </w:rPr>
      </w:pPr>
      <w:r w:rsidRPr="00AA477D">
        <w:rPr>
          <w:rFonts w:cstheme="minorHAnsi"/>
          <w:sz w:val="20"/>
          <w:szCs w:val="20"/>
        </w:rPr>
        <w:t>The guidelines will be developed using the following existing NRC guiding documents and global reference documents (certain components will be included in the Implementation Guidelines):</w:t>
      </w:r>
    </w:p>
    <w:p w14:paraId="31678BA2" w14:textId="77777777" w:rsidR="00AA477D" w:rsidRDefault="00AA477D" w:rsidP="00AA477D">
      <w:pPr>
        <w:spacing w:after="0" w:line="240" w:lineRule="auto"/>
        <w:rPr>
          <w:rFonts w:cstheme="minorHAnsi"/>
          <w:sz w:val="20"/>
          <w:szCs w:val="20"/>
        </w:rPr>
      </w:pPr>
    </w:p>
    <w:p w14:paraId="497C8557" w14:textId="3411FEC5" w:rsidR="00183F19" w:rsidRPr="00AA477D" w:rsidRDefault="00183F19" w:rsidP="00AA477D">
      <w:pPr>
        <w:spacing w:after="0" w:line="240" w:lineRule="auto"/>
        <w:rPr>
          <w:rFonts w:cstheme="minorHAnsi"/>
          <w:b/>
          <w:sz w:val="20"/>
          <w:szCs w:val="20"/>
        </w:rPr>
      </w:pPr>
      <w:r w:rsidRPr="00AA477D">
        <w:rPr>
          <w:rFonts w:cstheme="minorHAnsi"/>
          <w:b/>
          <w:sz w:val="20"/>
          <w:szCs w:val="20"/>
        </w:rPr>
        <w:t xml:space="preserve">Global reference documents </w:t>
      </w:r>
    </w:p>
    <w:p w14:paraId="49143079"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INEE Minimum Standards</w:t>
      </w:r>
    </w:p>
    <w:p w14:paraId="269471F1"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INEE PSS Guidance Note</w:t>
      </w:r>
    </w:p>
    <w:p w14:paraId="27E3F82E"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INEE TICC package</w:t>
      </w:r>
    </w:p>
    <w:p w14:paraId="6FB4B714"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IASC Guidance of Metal Heath and Psychosocial Support</w:t>
      </w:r>
    </w:p>
    <w:p w14:paraId="02E06737"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 xml:space="preserve">Minimum Standards for Child Protection in Humanitarian Actions </w:t>
      </w:r>
    </w:p>
    <w:p w14:paraId="674CE924" w14:textId="77777777" w:rsidR="00AA477D" w:rsidRDefault="00AA477D" w:rsidP="00AA477D">
      <w:pPr>
        <w:spacing w:after="0" w:line="240" w:lineRule="auto"/>
        <w:rPr>
          <w:rFonts w:cstheme="minorHAnsi"/>
          <w:sz w:val="20"/>
          <w:szCs w:val="20"/>
        </w:rPr>
      </w:pPr>
    </w:p>
    <w:p w14:paraId="75E460A6" w14:textId="6C6484F0" w:rsidR="00183F19" w:rsidRPr="00AA477D" w:rsidRDefault="00183F19" w:rsidP="00AA477D">
      <w:pPr>
        <w:spacing w:after="0" w:line="240" w:lineRule="auto"/>
        <w:rPr>
          <w:rFonts w:cstheme="minorHAnsi"/>
          <w:b/>
          <w:sz w:val="20"/>
          <w:szCs w:val="20"/>
        </w:rPr>
      </w:pPr>
      <w:r w:rsidRPr="00AA477D">
        <w:rPr>
          <w:rFonts w:cstheme="minorHAnsi"/>
          <w:b/>
          <w:sz w:val="20"/>
          <w:szCs w:val="20"/>
        </w:rPr>
        <w:t xml:space="preserve">NRC Guiding documents </w:t>
      </w:r>
    </w:p>
    <w:p w14:paraId="555CBEEF"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Global Education Policy</w:t>
      </w:r>
    </w:p>
    <w:p w14:paraId="6215C6B1"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BLP Glossary</w:t>
      </w:r>
    </w:p>
    <w:p w14:paraId="78745568"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Master Trainers package</w:t>
      </w:r>
    </w:p>
    <w:p w14:paraId="21FD6035"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Supporting the Supporters Package</w:t>
      </w:r>
    </w:p>
    <w:p w14:paraId="10609A9D"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M&amp;E JPL toolkits</w:t>
      </w:r>
    </w:p>
    <w:p w14:paraId="651825D7" w14:textId="77777777" w:rsidR="00183F19" w:rsidRPr="00AA477D" w:rsidRDefault="00183F19" w:rsidP="00AA477D">
      <w:pPr>
        <w:pStyle w:val="ListParagraph"/>
        <w:numPr>
          <w:ilvl w:val="0"/>
          <w:numId w:val="3"/>
        </w:numPr>
        <w:spacing w:after="0" w:line="240" w:lineRule="auto"/>
        <w:jc w:val="both"/>
        <w:rPr>
          <w:rFonts w:cstheme="minorHAnsi"/>
          <w:color w:val="000000"/>
          <w:sz w:val="20"/>
          <w:szCs w:val="20"/>
        </w:rPr>
      </w:pPr>
      <w:r w:rsidRPr="00AA477D">
        <w:rPr>
          <w:rFonts w:cstheme="minorHAnsi"/>
          <w:sz w:val="20"/>
          <w:szCs w:val="20"/>
        </w:rPr>
        <w:t>Technical missions’ reports by MERO unit in the region</w:t>
      </w:r>
    </w:p>
    <w:p w14:paraId="6A709AC5" w14:textId="091C87FC" w:rsidR="00183F19" w:rsidRPr="00AA477D" w:rsidRDefault="00AA477D" w:rsidP="00AA477D">
      <w:pPr>
        <w:pStyle w:val="ListParagraph"/>
        <w:numPr>
          <w:ilvl w:val="0"/>
          <w:numId w:val="3"/>
        </w:numPr>
        <w:spacing w:after="0" w:line="240" w:lineRule="auto"/>
        <w:jc w:val="both"/>
        <w:rPr>
          <w:rFonts w:cstheme="minorHAnsi"/>
          <w:color w:val="000000"/>
          <w:sz w:val="20"/>
          <w:szCs w:val="20"/>
        </w:rPr>
      </w:pPr>
      <w:r>
        <w:rPr>
          <w:rFonts w:cstheme="minorHAnsi"/>
          <w:sz w:val="20"/>
          <w:szCs w:val="20"/>
        </w:rPr>
        <w:t xml:space="preserve">BLP1, BLP2 and </w:t>
      </w:r>
      <w:r w:rsidR="00183F19" w:rsidRPr="00AA477D">
        <w:rPr>
          <w:rFonts w:cstheme="minorHAnsi"/>
          <w:sz w:val="20"/>
          <w:szCs w:val="20"/>
        </w:rPr>
        <w:t>BLP3 manual</w:t>
      </w:r>
    </w:p>
    <w:p w14:paraId="7CEE6675" w14:textId="77777777" w:rsidR="00183F19" w:rsidRPr="00AA477D" w:rsidRDefault="00183F19" w:rsidP="00AA477D">
      <w:pPr>
        <w:pStyle w:val="ListParagraph"/>
        <w:numPr>
          <w:ilvl w:val="0"/>
          <w:numId w:val="3"/>
        </w:numPr>
        <w:spacing w:after="0" w:line="240" w:lineRule="auto"/>
        <w:contextualSpacing w:val="0"/>
        <w:jc w:val="both"/>
        <w:rPr>
          <w:rFonts w:cstheme="minorHAnsi"/>
          <w:color w:val="000000"/>
          <w:sz w:val="20"/>
          <w:szCs w:val="20"/>
        </w:rPr>
      </w:pPr>
      <w:r w:rsidRPr="00AA477D">
        <w:rPr>
          <w:rFonts w:cstheme="minorHAnsi"/>
          <w:sz w:val="20"/>
          <w:szCs w:val="20"/>
        </w:rPr>
        <w:t xml:space="preserve">BLP </w:t>
      </w:r>
      <w:proofErr w:type="spellStart"/>
      <w:r w:rsidRPr="00AA477D">
        <w:rPr>
          <w:rFonts w:cstheme="minorHAnsi"/>
          <w:sz w:val="20"/>
          <w:szCs w:val="20"/>
        </w:rPr>
        <w:t>ToT</w:t>
      </w:r>
      <w:proofErr w:type="spellEnd"/>
      <w:r w:rsidRPr="00AA477D">
        <w:rPr>
          <w:rFonts w:cstheme="minorHAnsi"/>
          <w:sz w:val="20"/>
          <w:szCs w:val="20"/>
        </w:rPr>
        <w:t xml:space="preserve"> manual</w:t>
      </w:r>
    </w:p>
    <w:p w14:paraId="23C8CA79" w14:textId="6BBBDF3A" w:rsidR="00AA477D" w:rsidRDefault="00AA477D" w:rsidP="00AA477D">
      <w:pPr>
        <w:spacing w:after="0" w:line="240" w:lineRule="auto"/>
        <w:rPr>
          <w:rFonts w:cstheme="minorHAnsi"/>
          <w:b/>
          <w:bCs/>
          <w:sz w:val="20"/>
          <w:szCs w:val="20"/>
        </w:rPr>
      </w:pPr>
    </w:p>
    <w:p w14:paraId="216FA1D8" w14:textId="52A092FD" w:rsidR="00AA477D" w:rsidRDefault="00AA477D" w:rsidP="00AA477D">
      <w:pPr>
        <w:spacing w:after="0" w:line="240" w:lineRule="auto"/>
        <w:rPr>
          <w:rFonts w:cstheme="minorHAnsi"/>
          <w:b/>
          <w:bCs/>
          <w:sz w:val="20"/>
          <w:szCs w:val="20"/>
        </w:rPr>
      </w:pPr>
    </w:p>
    <w:p w14:paraId="7533E499" w14:textId="77777777" w:rsidR="00AA477D" w:rsidRDefault="00AA477D" w:rsidP="00AA477D">
      <w:pPr>
        <w:spacing w:after="0" w:line="240" w:lineRule="auto"/>
        <w:rPr>
          <w:rFonts w:cstheme="minorHAnsi"/>
          <w:b/>
          <w:bCs/>
          <w:sz w:val="20"/>
          <w:szCs w:val="20"/>
        </w:rPr>
      </w:pPr>
    </w:p>
    <w:p w14:paraId="18830349" w14:textId="77777777" w:rsidR="00AA477D" w:rsidRDefault="00AA477D" w:rsidP="00AA477D">
      <w:pPr>
        <w:spacing w:after="0" w:line="240" w:lineRule="auto"/>
        <w:rPr>
          <w:rFonts w:cstheme="minorHAnsi"/>
          <w:b/>
          <w:bCs/>
          <w:sz w:val="20"/>
          <w:szCs w:val="20"/>
        </w:rPr>
      </w:pPr>
    </w:p>
    <w:p w14:paraId="60DD901C" w14:textId="690C50C2" w:rsidR="00183F19" w:rsidRPr="00AA477D" w:rsidRDefault="00183F19" w:rsidP="00AA477D">
      <w:pPr>
        <w:spacing w:after="0" w:line="240" w:lineRule="auto"/>
        <w:rPr>
          <w:rFonts w:cstheme="minorHAnsi"/>
          <w:b/>
          <w:sz w:val="20"/>
          <w:szCs w:val="20"/>
        </w:rPr>
      </w:pPr>
      <w:r w:rsidRPr="00AA477D">
        <w:rPr>
          <w:rFonts w:cstheme="minorHAnsi"/>
          <w:b/>
          <w:bCs/>
          <w:sz w:val="20"/>
          <w:szCs w:val="20"/>
        </w:rPr>
        <w:lastRenderedPageBreak/>
        <w:t>Major tasks and responsibilities</w:t>
      </w:r>
    </w:p>
    <w:p w14:paraId="2EEE7AE2" w14:textId="45D206BA" w:rsidR="00183F19" w:rsidRPr="00AA477D" w:rsidRDefault="00183F19" w:rsidP="00AA477D">
      <w:pPr>
        <w:spacing w:after="0" w:line="240" w:lineRule="auto"/>
        <w:rPr>
          <w:rFonts w:cstheme="minorHAnsi"/>
          <w:color w:val="4F81BD" w:themeColor="accent1"/>
          <w:sz w:val="20"/>
          <w:szCs w:val="20"/>
        </w:rPr>
      </w:pPr>
      <w:r w:rsidRPr="00AA477D">
        <w:rPr>
          <w:rFonts w:cstheme="minorHAnsi"/>
          <w:sz w:val="20"/>
          <w:szCs w:val="20"/>
        </w:rPr>
        <w:t xml:space="preserve">Below </w:t>
      </w:r>
      <w:r w:rsidR="00BD0BC6" w:rsidRPr="00AA477D">
        <w:rPr>
          <w:rFonts w:cstheme="minorHAnsi"/>
          <w:sz w:val="20"/>
          <w:szCs w:val="20"/>
        </w:rPr>
        <w:t>finds</w:t>
      </w:r>
      <w:r w:rsidRPr="00AA477D">
        <w:rPr>
          <w:rFonts w:cstheme="minorHAnsi"/>
          <w:sz w:val="20"/>
          <w:szCs w:val="20"/>
        </w:rPr>
        <w:t xml:space="preserve"> the daft suggested Implementation Guideline outline: </w:t>
      </w:r>
    </w:p>
    <w:p w14:paraId="0DECFB7C" w14:textId="77777777" w:rsidR="00183F19" w:rsidRPr="00AA477D" w:rsidRDefault="00183F19" w:rsidP="00AA477D">
      <w:pPr>
        <w:pStyle w:val="ListParagraph"/>
        <w:numPr>
          <w:ilvl w:val="0"/>
          <w:numId w:val="4"/>
        </w:numPr>
        <w:spacing w:after="0" w:line="240" w:lineRule="auto"/>
        <w:rPr>
          <w:rFonts w:cstheme="minorHAnsi"/>
          <w:sz w:val="20"/>
          <w:szCs w:val="20"/>
        </w:rPr>
      </w:pPr>
      <w:r w:rsidRPr="00AA477D">
        <w:rPr>
          <w:rFonts w:cstheme="minorHAnsi"/>
          <w:b/>
          <w:bCs/>
          <w:sz w:val="20"/>
          <w:szCs w:val="20"/>
          <w:u w:val="single"/>
        </w:rPr>
        <w:t>WHY and WHEN?</w:t>
      </w:r>
      <w:r w:rsidRPr="00AA477D">
        <w:rPr>
          <w:rFonts w:cstheme="minorHAnsi"/>
          <w:sz w:val="20"/>
          <w:szCs w:val="20"/>
        </w:rPr>
        <w:t xml:space="preserve"> </w:t>
      </w:r>
      <w:r w:rsidRPr="00AA477D">
        <w:rPr>
          <w:rFonts w:cstheme="minorHAnsi"/>
          <w:b/>
          <w:bCs/>
          <w:sz w:val="20"/>
          <w:szCs w:val="20"/>
        </w:rPr>
        <w:t>Problem statement and rationale</w:t>
      </w:r>
      <w:r w:rsidRPr="00AA477D">
        <w:rPr>
          <w:rFonts w:cstheme="minorHAnsi"/>
          <w:sz w:val="20"/>
          <w:szCs w:val="20"/>
        </w:rPr>
        <w:t xml:space="preserve"> summarizing global and regional MHPSS gaps/needs (conflict, massive # of refugees/IDPs in formal schools and camps, low achievement of refugees/IDPs and host communities, decreased wellbeing or trauma, poor communication with parents). This section will also provide recommendation to COs to have a clear rationale before starting and stages needed to kick-off BLP. </w:t>
      </w:r>
    </w:p>
    <w:p w14:paraId="57786D2E" w14:textId="77777777" w:rsidR="00183F19" w:rsidRPr="00AA477D" w:rsidRDefault="00183F19" w:rsidP="00AA477D">
      <w:pPr>
        <w:pStyle w:val="ListParagraph"/>
        <w:numPr>
          <w:ilvl w:val="0"/>
          <w:numId w:val="4"/>
        </w:numPr>
        <w:spacing w:after="0" w:line="240" w:lineRule="auto"/>
        <w:rPr>
          <w:rFonts w:cstheme="minorHAnsi"/>
          <w:sz w:val="20"/>
          <w:szCs w:val="20"/>
        </w:rPr>
      </w:pPr>
      <w:r w:rsidRPr="00AA477D">
        <w:rPr>
          <w:rFonts w:cstheme="minorHAnsi"/>
          <w:b/>
          <w:bCs/>
          <w:sz w:val="20"/>
          <w:szCs w:val="20"/>
        </w:rPr>
        <w:t>Background</w:t>
      </w:r>
      <w:r w:rsidRPr="00AA477D">
        <w:rPr>
          <w:rFonts w:cstheme="minorHAnsi"/>
          <w:sz w:val="20"/>
          <w:szCs w:val="20"/>
        </w:rPr>
        <w:t xml:space="preserve"> including the BLP-history; the collaboration with the University of </w:t>
      </w:r>
      <w:proofErr w:type="spellStart"/>
      <w:r w:rsidRPr="00AA477D">
        <w:rPr>
          <w:rFonts w:cstheme="minorHAnsi"/>
          <w:sz w:val="20"/>
          <w:szCs w:val="20"/>
        </w:rPr>
        <w:t>Tromsø</w:t>
      </w:r>
      <w:proofErr w:type="spellEnd"/>
      <w:r w:rsidRPr="00AA477D">
        <w:rPr>
          <w:rFonts w:cstheme="minorHAnsi"/>
          <w:sz w:val="20"/>
          <w:szCs w:val="20"/>
        </w:rPr>
        <w:t xml:space="preserve"> (</w:t>
      </w:r>
      <w:proofErr w:type="spellStart"/>
      <w:r w:rsidRPr="00AA477D">
        <w:rPr>
          <w:rFonts w:cstheme="minorHAnsi"/>
          <w:sz w:val="20"/>
          <w:szCs w:val="20"/>
        </w:rPr>
        <w:t>UiT</w:t>
      </w:r>
      <w:proofErr w:type="spellEnd"/>
      <w:r w:rsidRPr="00AA477D">
        <w:rPr>
          <w:rFonts w:cstheme="minorHAnsi"/>
          <w:sz w:val="20"/>
          <w:szCs w:val="20"/>
        </w:rPr>
        <w:t xml:space="preserve">); countries of implementation- Children and youth </w:t>
      </w:r>
    </w:p>
    <w:p w14:paraId="42017333" w14:textId="25471F75" w:rsidR="00183F19" w:rsidRPr="00AA477D" w:rsidRDefault="00183F19" w:rsidP="00AA477D">
      <w:pPr>
        <w:pStyle w:val="ListParagraph"/>
        <w:numPr>
          <w:ilvl w:val="0"/>
          <w:numId w:val="4"/>
        </w:numPr>
        <w:spacing w:after="0" w:line="240" w:lineRule="auto"/>
        <w:rPr>
          <w:rFonts w:cstheme="minorHAnsi"/>
          <w:sz w:val="20"/>
          <w:szCs w:val="20"/>
        </w:rPr>
      </w:pPr>
      <w:r w:rsidRPr="00AA477D">
        <w:rPr>
          <w:rFonts w:cstheme="minorHAnsi"/>
          <w:b/>
          <w:bCs/>
          <w:sz w:val="20"/>
          <w:szCs w:val="20"/>
        </w:rPr>
        <w:t xml:space="preserve">Packages </w:t>
      </w:r>
      <w:r w:rsidR="00BD0BC6" w:rsidRPr="00AA477D">
        <w:rPr>
          <w:rFonts w:cstheme="minorHAnsi"/>
          <w:b/>
          <w:bCs/>
          <w:sz w:val="20"/>
          <w:szCs w:val="20"/>
        </w:rPr>
        <w:t>explanation:</w:t>
      </w:r>
      <w:r w:rsidRPr="00AA477D">
        <w:rPr>
          <w:rFonts w:cstheme="minorHAnsi"/>
          <w:sz w:val="20"/>
          <w:szCs w:val="20"/>
        </w:rPr>
        <w:t xml:space="preserve"> BLP1; BLP2; BLP3 and Supporting the Supporters (</w:t>
      </w:r>
      <w:proofErr w:type="spellStart"/>
      <w:r w:rsidRPr="00AA477D">
        <w:rPr>
          <w:rFonts w:cstheme="minorHAnsi"/>
          <w:sz w:val="20"/>
          <w:szCs w:val="20"/>
        </w:rPr>
        <w:t>StS</w:t>
      </w:r>
      <w:proofErr w:type="spellEnd"/>
      <w:r w:rsidRPr="00AA477D">
        <w:rPr>
          <w:rFonts w:cstheme="minorHAnsi"/>
          <w:sz w:val="20"/>
          <w:szCs w:val="20"/>
        </w:rPr>
        <w:t>)</w:t>
      </w:r>
    </w:p>
    <w:p w14:paraId="4CAD3E2C" w14:textId="3929A518" w:rsidR="00183F19" w:rsidRPr="00AA477D" w:rsidRDefault="00BD0BC6" w:rsidP="00AA477D">
      <w:pPr>
        <w:pStyle w:val="ListParagraph"/>
        <w:numPr>
          <w:ilvl w:val="0"/>
          <w:numId w:val="4"/>
        </w:numPr>
        <w:spacing w:after="0" w:line="240" w:lineRule="auto"/>
        <w:rPr>
          <w:rFonts w:cstheme="minorHAnsi"/>
          <w:sz w:val="20"/>
          <w:szCs w:val="20"/>
        </w:rPr>
      </w:pPr>
      <w:r w:rsidRPr="00AA477D">
        <w:rPr>
          <w:rFonts w:cstheme="minorHAnsi"/>
          <w:b/>
          <w:bCs/>
          <w:sz w:val="20"/>
          <w:szCs w:val="20"/>
          <w:u w:val="single"/>
        </w:rPr>
        <w:t>HOW? -</w:t>
      </w:r>
      <w:r w:rsidR="00183F19" w:rsidRPr="00AA477D">
        <w:rPr>
          <w:rFonts w:cstheme="minorHAnsi"/>
          <w:sz w:val="20"/>
          <w:szCs w:val="20"/>
        </w:rPr>
        <w:t xml:space="preserve"> </w:t>
      </w:r>
      <w:r w:rsidR="00183F19" w:rsidRPr="00AA477D">
        <w:rPr>
          <w:rFonts w:cstheme="minorHAnsi"/>
          <w:b/>
          <w:bCs/>
          <w:sz w:val="20"/>
          <w:szCs w:val="20"/>
        </w:rPr>
        <w:t>Response analysis</w:t>
      </w:r>
      <w:r w:rsidR="00183F19" w:rsidRPr="00AA477D">
        <w:rPr>
          <w:rFonts w:cstheme="minorHAnsi"/>
          <w:sz w:val="20"/>
          <w:szCs w:val="20"/>
        </w:rPr>
        <w:t xml:space="preserve"> </w:t>
      </w:r>
    </w:p>
    <w:p w14:paraId="2D37053D" w14:textId="77777777" w:rsidR="00183F19" w:rsidRPr="00AA477D" w:rsidRDefault="00183F19" w:rsidP="00AA477D">
      <w:pPr>
        <w:pStyle w:val="ListParagraph"/>
        <w:numPr>
          <w:ilvl w:val="0"/>
          <w:numId w:val="5"/>
        </w:numPr>
        <w:spacing w:after="0" w:line="240" w:lineRule="auto"/>
        <w:rPr>
          <w:rFonts w:cstheme="minorHAnsi"/>
          <w:i/>
          <w:iCs/>
          <w:sz w:val="20"/>
          <w:szCs w:val="20"/>
        </w:rPr>
      </w:pPr>
      <w:r w:rsidRPr="00AA477D">
        <w:rPr>
          <w:rFonts w:cstheme="minorHAnsi"/>
          <w:i/>
          <w:iCs/>
          <w:sz w:val="20"/>
          <w:szCs w:val="20"/>
        </w:rPr>
        <w:t>GRAPHIC OVERVIEW</w:t>
      </w:r>
    </w:p>
    <w:p w14:paraId="32D0B42D" w14:textId="77777777" w:rsidR="00183F19" w:rsidRPr="00AA477D" w:rsidRDefault="00183F19" w:rsidP="00AA477D">
      <w:pPr>
        <w:pStyle w:val="ListParagraph"/>
        <w:numPr>
          <w:ilvl w:val="0"/>
          <w:numId w:val="5"/>
        </w:numPr>
        <w:spacing w:after="0" w:line="240" w:lineRule="auto"/>
        <w:rPr>
          <w:rFonts w:cstheme="minorHAnsi"/>
          <w:sz w:val="20"/>
          <w:szCs w:val="20"/>
        </w:rPr>
      </w:pPr>
      <w:r w:rsidRPr="00AA477D">
        <w:rPr>
          <w:rFonts w:cstheme="minorHAnsi"/>
          <w:b/>
          <w:bCs/>
          <w:sz w:val="20"/>
          <w:szCs w:val="20"/>
        </w:rPr>
        <w:t>BEFORE→</w:t>
      </w:r>
      <w:r w:rsidRPr="00AA477D">
        <w:rPr>
          <w:rFonts w:cstheme="minorHAnsi"/>
          <w:sz w:val="20"/>
          <w:szCs w:val="20"/>
        </w:rPr>
        <w:t xml:space="preserve"> Contextual analysis → Pathways of implementation such as </w:t>
      </w:r>
      <w:proofErr w:type="spellStart"/>
      <w:r w:rsidRPr="00AA477D">
        <w:rPr>
          <w:rFonts w:cstheme="minorHAnsi"/>
          <w:sz w:val="20"/>
          <w:szCs w:val="20"/>
        </w:rPr>
        <w:t>i</w:t>
      </w:r>
      <w:proofErr w:type="spellEnd"/>
      <w:r w:rsidRPr="00AA477D">
        <w:rPr>
          <w:rFonts w:cstheme="minorHAnsi"/>
          <w:sz w:val="20"/>
          <w:szCs w:val="20"/>
        </w:rPr>
        <w:t xml:space="preserve">) stand-alone and the </w:t>
      </w:r>
      <w:r w:rsidRPr="00AA477D">
        <w:rPr>
          <w:rFonts w:cstheme="minorHAnsi"/>
          <w:b/>
          <w:bCs/>
          <w:sz w:val="20"/>
          <w:szCs w:val="20"/>
        </w:rPr>
        <w:t>reasons</w:t>
      </w:r>
      <w:r w:rsidRPr="00AA477D">
        <w:rPr>
          <w:rFonts w:cstheme="minorHAnsi"/>
          <w:sz w:val="20"/>
          <w:szCs w:val="20"/>
        </w:rPr>
        <w:t xml:space="preserve"> not to be put in place; ii) mainstream; iii) integrate and; iv) Alternative Education</w:t>
      </w:r>
    </w:p>
    <w:p w14:paraId="0B9CF2F9"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 xml:space="preserve">Internal and external assess/consent </w:t>
      </w:r>
    </w:p>
    <w:p w14:paraId="1F21FF05"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Capacity building-level 1</w:t>
      </w:r>
    </w:p>
    <w:p w14:paraId="76411E02"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Targets: staff, children, teaching and non-teaching staff, caregivers, authorities, local partners</w:t>
      </w:r>
    </w:p>
    <w:p w14:paraId="3B291F99"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 xml:space="preserve">Parents engagement </w:t>
      </w:r>
    </w:p>
    <w:p w14:paraId="33AE0793"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Beneficiaries selection criteria and setting of intervention timeframe</w:t>
      </w:r>
    </w:p>
    <w:p w14:paraId="366567D2"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 xml:space="preserve">Annexes and Tools (draft proposals; budgets with list of needs and any fixed international costs, as well as recommended staffing and material procurement; needs assessment/baseline tools; </w:t>
      </w:r>
      <w:r w:rsidRPr="00AA477D">
        <w:rPr>
          <w:rFonts w:cstheme="minorHAnsi"/>
          <w:i/>
          <w:iCs/>
          <w:sz w:val="20"/>
          <w:szCs w:val="20"/>
        </w:rPr>
        <w:t>M&amp;E tools in the above section</w:t>
      </w:r>
      <w:r w:rsidRPr="00AA477D">
        <w:rPr>
          <w:rFonts w:cstheme="minorHAnsi"/>
          <w:sz w:val="20"/>
          <w:szCs w:val="20"/>
        </w:rPr>
        <w:t>)</w:t>
      </w:r>
    </w:p>
    <w:p w14:paraId="6B4CBFD3" w14:textId="77777777" w:rsidR="00183F19" w:rsidRPr="00AA477D" w:rsidRDefault="00183F19" w:rsidP="00AA477D">
      <w:pPr>
        <w:pStyle w:val="ListParagraph"/>
        <w:numPr>
          <w:ilvl w:val="0"/>
          <w:numId w:val="5"/>
        </w:numPr>
        <w:spacing w:after="0" w:line="240" w:lineRule="auto"/>
        <w:rPr>
          <w:rFonts w:cstheme="minorHAnsi"/>
          <w:sz w:val="20"/>
          <w:szCs w:val="20"/>
        </w:rPr>
      </w:pPr>
      <w:r w:rsidRPr="00AA477D">
        <w:rPr>
          <w:rFonts w:cstheme="minorHAnsi"/>
          <w:b/>
          <w:bCs/>
          <w:sz w:val="20"/>
          <w:szCs w:val="20"/>
        </w:rPr>
        <w:t>DURING→</w:t>
      </w:r>
      <w:r w:rsidRPr="00AA477D">
        <w:rPr>
          <w:rFonts w:cstheme="minorHAnsi"/>
          <w:sz w:val="20"/>
          <w:szCs w:val="20"/>
        </w:rPr>
        <w:t xml:space="preserve"> Start-up through the following </w:t>
      </w:r>
      <w:proofErr w:type="spellStart"/>
      <w:r w:rsidRPr="00AA477D">
        <w:rPr>
          <w:rFonts w:cstheme="minorHAnsi"/>
          <w:sz w:val="20"/>
          <w:szCs w:val="20"/>
        </w:rPr>
        <w:t>i</w:t>
      </w:r>
      <w:proofErr w:type="spellEnd"/>
      <w:r w:rsidRPr="00AA477D">
        <w:rPr>
          <w:rFonts w:cstheme="minorHAnsi"/>
          <w:sz w:val="20"/>
          <w:szCs w:val="20"/>
        </w:rPr>
        <w:t>) pilot; ii) Lessons learned/After Action Review/Research; iii) Schedule programming; iv) Baseline data collection</w:t>
      </w:r>
    </w:p>
    <w:p w14:paraId="7A67E800"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Capacity building- level 2</w:t>
      </w:r>
    </w:p>
    <w:p w14:paraId="7F3C4CFF"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Coaching and mentoring for implementers (community of practice)</w:t>
      </w:r>
    </w:p>
    <w:p w14:paraId="4762BC5C"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 xml:space="preserve">Parents engagement </w:t>
      </w:r>
    </w:p>
    <w:p w14:paraId="31E0FAA7"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Support the Supporters (</w:t>
      </w:r>
      <w:proofErr w:type="spellStart"/>
      <w:r w:rsidRPr="00AA477D">
        <w:rPr>
          <w:rFonts w:cstheme="minorHAnsi"/>
          <w:sz w:val="20"/>
          <w:szCs w:val="20"/>
        </w:rPr>
        <w:t>TiCC</w:t>
      </w:r>
      <w:proofErr w:type="spellEnd"/>
      <w:r w:rsidRPr="00AA477D">
        <w:rPr>
          <w:rFonts w:cstheme="minorHAnsi"/>
          <w:sz w:val="20"/>
          <w:szCs w:val="20"/>
        </w:rPr>
        <w:t>)</w:t>
      </w:r>
    </w:p>
    <w:p w14:paraId="1EFC9B5B"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Contextualization</w:t>
      </w:r>
    </w:p>
    <w:p w14:paraId="5BE0BEDC"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Annexes and Tools</w:t>
      </w:r>
    </w:p>
    <w:p w14:paraId="5806DEBA" w14:textId="77777777" w:rsidR="00183F19" w:rsidRPr="00AA477D" w:rsidRDefault="00183F19" w:rsidP="00AA477D">
      <w:pPr>
        <w:pStyle w:val="ListParagraph"/>
        <w:numPr>
          <w:ilvl w:val="0"/>
          <w:numId w:val="5"/>
        </w:numPr>
        <w:spacing w:after="0" w:line="240" w:lineRule="auto"/>
        <w:rPr>
          <w:rFonts w:cstheme="minorHAnsi"/>
          <w:sz w:val="20"/>
          <w:szCs w:val="20"/>
        </w:rPr>
      </w:pPr>
      <w:r w:rsidRPr="00AA477D">
        <w:rPr>
          <w:rFonts w:cstheme="minorHAnsi"/>
          <w:b/>
          <w:bCs/>
          <w:sz w:val="20"/>
          <w:szCs w:val="20"/>
        </w:rPr>
        <w:t xml:space="preserve">AFTER/CONSOLIDATION→ </w:t>
      </w:r>
      <w:r w:rsidRPr="00AA477D">
        <w:rPr>
          <w:rFonts w:cstheme="minorHAnsi"/>
          <w:sz w:val="20"/>
          <w:szCs w:val="20"/>
        </w:rPr>
        <w:t>Scale up→ Integration → Mainstreaming→ Advocacy</w:t>
      </w:r>
    </w:p>
    <w:p w14:paraId="1A9B797D"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 xml:space="preserve">Capacity building-level 3 </w:t>
      </w:r>
    </w:p>
    <w:p w14:paraId="599063CF"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 xml:space="preserve">Parents engagement </w:t>
      </w:r>
    </w:p>
    <w:p w14:paraId="1351ED45"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Coaching and mentoring for implementers (community of practice)</w:t>
      </w:r>
    </w:p>
    <w:p w14:paraId="49082737"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Support the Supporters (</w:t>
      </w:r>
      <w:proofErr w:type="spellStart"/>
      <w:r w:rsidRPr="00AA477D">
        <w:rPr>
          <w:rFonts w:cstheme="minorHAnsi"/>
          <w:sz w:val="20"/>
          <w:szCs w:val="20"/>
        </w:rPr>
        <w:t>TiCC</w:t>
      </w:r>
      <w:proofErr w:type="spellEnd"/>
      <w:r w:rsidRPr="00AA477D">
        <w:rPr>
          <w:rFonts w:cstheme="minorHAnsi"/>
          <w:sz w:val="20"/>
          <w:szCs w:val="20"/>
        </w:rPr>
        <w:t>)</w:t>
      </w:r>
    </w:p>
    <w:p w14:paraId="58D536D4" w14:textId="77777777" w:rsidR="00183F19" w:rsidRPr="00AA477D" w:rsidRDefault="00183F19" w:rsidP="00AA477D">
      <w:pPr>
        <w:pStyle w:val="ListParagraph"/>
        <w:numPr>
          <w:ilvl w:val="0"/>
          <w:numId w:val="6"/>
        </w:numPr>
        <w:spacing w:after="0" w:line="240" w:lineRule="auto"/>
        <w:rPr>
          <w:rFonts w:cstheme="minorHAnsi"/>
          <w:sz w:val="20"/>
          <w:szCs w:val="20"/>
        </w:rPr>
      </w:pPr>
      <w:r w:rsidRPr="00AA477D">
        <w:rPr>
          <w:rFonts w:cstheme="minorHAnsi"/>
          <w:sz w:val="20"/>
          <w:szCs w:val="20"/>
        </w:rPr>
        <w:t xml:space="preserve">Annexes and Tools (integration/mainstreaming checklist) </w:t>
      </w:r>
    </w:p>
    <w:p w14:paraId="06A558A8" w14:textId="77777777" w:rsidR="00183F19" w:rsidRPr="00AA477D" w:rsidRDefault="00183F19" w:rsidP="00AA477D">
      <w:pPr>
        <w:pStyle w:val="ListParagraph"/>
        <w:numPr>
          <w:ilvl w:val="0"/>
          <w:numId w:val="4"/>
        </w:numPr>
        <w:spacing w:after="0" w:line="240" w:lineRule="auto"/>
        <w:rPr>
          <w:rFonts w:cstheme="minorHAnsi"/>
          <w:sz w:val="20"/>
          <w:szCs w:val="20"/>
        </w:rPr>
      </w:pPr>
      <w:r w:rsidRPr="00AA477D">
        <w:rPr>
          <w:rFonts w:cstheme="minorHAnsi"/>
          <w:sz w:val="20"/>
          <w:szCs w:val="20"/>
        </w:rPr>
        <w:t>Training pathways and competency framework (</w:t>
      </w:r>
      <w:proofErr w:type="spellStart"/>
      <w:r w:rsidRPr="00AA477D">
        <w:rPr>
          <w:rFonts w:cstheme="minorHAnsi"/>
          <w:sz w:val="20"/>
          <w:szCs w:val="20"/>
        </w:rPr>
        <w:t>ToT</w:t>
      </w:r>
      <w:proofErr w:type="spellEnd"/>
      <w:r w:rsidRPr="00AA477D">
        <w:rPr>
          <w:rFonts w:cstheme="minorHAnsi"/>
          <w:sz w:val="20"/>
          <w:szCs w:val="20"/>
        </w:rPr>
        <w:t xml:space="preserve">/Certified Master Trainers/staff experience profile </w:t>
      </w:r>
      <w:proofErr w:type="spellStart"/>
      <w:r w:rsidRPr="00AA477D">
        <w:rPr>
          <w:rFonts w:cstheme="minorHAnsi"/>
          <w:sz w:val="20"/>
          <w:szCs w:val="20"/>
        </w:rPr>
        <w:t>etc</w:t>
      </w:r>
      <w:proofErr w:type="spellEnd"/>
      <w:r w:rsidRPr="00AA477D">
        <w:rPr>
          <w:rFonts w:cstheme="minorHAnsi"/>
          <w:sz w:val="20"/>
          <w:szCs w:val="20"/>
        </w:rPr>
        <w:t>)</w:t>
      </w:r>
    </w:p>
    <w:p w14:paraId="1046DF41" w14:textId="77777777" w:rsidR="00183F19" w:rsidRPr="00AA477D" w:rsidRDefault="00183F19" w:rsidP="00AA477D">
      <w:pPr>
        <w:pStyle w:val="ListParagraph"/>
        <w:numPr>
          <w:ilvl w:val="0"/>
          <w:numId w:val="4"/>
        </w:numPr>
        <w:spacing w:after="0" w:line="240" w:lineRule="auto"/>
        <w:rPr>
          <w:rFonts w:cstheme="minorHAnsi"/>
          <w:sz w:val="20"/>
          <w:szCs w:val="20"/>
        </w:rPr>
      </w:pPr>
      <w:r w:rsidRPr="00AA477D">
        <w:rPr>
          <w:rFonts w:cstheme="minorHAnsi"/>
          <w:sz w:val="20"/>
          <w:szCs w:val="20"/>
        </w:rPr>
        <w:t>How to implement BLP? PCM approach and M&amp;E (Theory of Change, JPL Toolkit etc.)</w:t>
      </w:r>
    </w:p>
    <w:p w14:paraId="09EF7943" w14:textId="77777777" w:rsidR="00183F19" w:rsidRPr="00AA477D" w:rsidRDefault="00183F19" w:rsidP="00AA477D">
      <w:pPr>
        <w:pStyle w:val="ListParagraph"/>
        <w:numPr>
          <w:ilvl w:val="0"/>
          <w:numId w:val="4"/>
        </w:numPr>
        <w:spacing w:after="0" w:line="240" w:lineRule="auto"/>
        <w:rPr>
          <w:rFonts w:cstheme="minorHAnsi"/>
          <w:sz w:val="20"/>
          <w:szCs w:val="20"/>
        </w:rPr>
      </w:pPr>
      <w:r w:rsidRPr="00AA477D">
        <w:rPr>
          <w:rFonts w:cstheme="minorHAnsi"/>
          <w:sz w:val="20"/>
          <w:szCs w:val="20"/>
        </w:rPr>
        <w:t>Exit strategy/Sustainability</w:t>
      </w:r>
    </w:p>
    <w:p w14:paraId="430BBF1B" w14:textId="77777777" w:rsidR="00183F19" w:rsidRPr="00AA477D" w:rsidRDefault="00183F19" w:rsidP="00AA477D">
      <w:pPr>
        <w:spacing w:after="0" w:line="240" w:lineRule="auto"/>
        <w:ind w:left="360"/>
        <w:rPr>
          <w:rFonts w:cstheme="minorHAnsi"/>
          <w:b/>
          <w:bCs/>
          <w:sz w:val="20"/>
          <w:szCs w:val="20"/>
          <w:u w:val="single"/>
        </w:rPr>
      </w:pPr>
      <w:r w:rsidRPr="00AA477D">
        <w:rPr>
          <w:rFonts w:cstheme="minorHAnsi"/>
          <w:b/>
          <w:bCs/>
          <w:sz w:val="20"/>
          <w:szCs w:val="20"/>
          <w:u w:val="single"/>
        </w:rPr>
        <w:t>ANNEXES</w:t>
      </w:r>
    </w:p>
    <w:p w14:paraId="34AF3864" w14:textId="77777777" w:rsidR="00183F19" w:rsidRPr="00AA477D" w:rsidRDefault="00183F19" w:rsidP="00AA477D">
      <w:pPr>
        <w:pStyle w:val="ListParagraph"/>
        <w:numPr>
          <w:ilvl w:val="0"/>
          <w:numId w:val="5"/>
        </w:numPr>
        <w:spacing w:after="0" w:line="240" w:lineRule="auto"/>
        <w:rPr>
          <w:rFonts w:cstheme="minorHAnsi"/>
          <w:i/>
          <w:iCs/>
          <w:sz w:val="20"/>
          <w:szCs w:val="20"/>
        </w:rPr>
      </w:pPr>
      <w:r w:rsidRPr="00AA477D">
        <w:rPr>
          <w:rFonts w:cstheme="minorHAnsi"/>
          <w:i/>
          <w:iCs/>
          <w:sz w:val="20"/>
          <w:szCs w:val="20"/>
        </w:rPr>
        <w:t>References</w:t>
      </w:r>
    </w:p>
    <w:p w14:paraId="4113160A" w14:textId="77777777" w:rsidR="00183F19" w:rsidRPr="00AA477D" w:rsidRDefault="00183F19" w:rsidP="00AA477D">
      <w:pPr>
        <w:pStyle w:val="ListParagraph"/>
        <w:numPr>
          <w:ilvl w:val="0"/>
          <w:numId w:val="5"/>
        </w:numPr>
        <w:spacing w:after="0" w:line="240" w:lineRule="auto"/>
        <w:rPr>
          <w:rFonts w:cstheme="minorHAnsi"/>
          <w:i/>
          <w:iCs/>
          <w:sz w:val="20"/>
          <w:szCs w:val="20"/>
        </w:rPr>
      </w:pPr>
      <w:r w:rsidRPr="00AA477D">
        <w:rPr>
          <w:rFonts w:cstheme="minorHAnsi"/>
          <w:i/>
          <w:iCs/>
          <w:sz w:val="20"/>
          <w:szCs w:val="20"/>
        </w:rPr>
        <w:t xml:space="preserve">Constraints, Limitations and Lessons Learned </w:t>
      </w:r>
    </w:p>
    <w:p w14:paraId="144162F0" w14:textId="77777777" w:rsidR="00183F19" w:rsidRPr="00AA477D" w:rsidRDefault="00183F19" w:rsidP="00AA477D">
      <w:pPr>
        <w:pStyle w:val="ListParagraph"/>
        <w:numPr>
          <w:ilvl w:val="0"/>
          <w:numId w:val="5"/>
        </w:numPr>
        <w:spacing w:after="0" w:line="240" w:lineRule="auto"/>
        <w:rPr>
          <w:rFonts w:cstheme="minorHAnsi"/>
          <w:i/>
          <w:iCs/>
          <w:sz w:val="20"/>
          <w:szCs w:val="20"/>
        </w:rPr>
      </w:pPr>
      <w:r w:rsidRPr="00AA477D">
        <w:rPr>
          <w:rFonts w:cstheme="minorHAnsi"/>
          <w:i/>
          <w:iCs/>
          <w:sz w:val="20"/>
          <w:szCs w:val="20"/>
        </w:rPr>
        <w:t xml:space="preserve">Frequently Asked Questions </w:t>
      </w:r>
    </w:p>
    <w:p w14:paraId="2B7D5AD8" w14:textId="77777777" w:rsidR="00183F19" w:rsidRPr="00AA477D" w:rsidRDefault="00183F19" w:rsidP="00AA477D">
      <w:pPr>
        <w:pStyle w:val="ListParagraph"/>
        <w:numPr>
          <w:ilvl w:val="0"/>
          <w:numId w:val="5"/>
        </w:numPr>
        <w:spacing w:after="0" w:line="240" w:lineRule="auto"/>
        <w:rPr>
          <w:rFonts w:cstheme="minorHAnsi"/>
          <w:i/>
          <w:iCs/>
          <w:sz w:val="20"/>
          <w:szCs w:val="20"/>
        </w:rPr>
      </w:pPr>
      <w:r w:rsidRPr="00AA477D">
        <w:rPr>
          <w:rFonts w:cstheme="minorHAnsi"/>
          <w:i/>
          <w:iCs/>
          <w:sz w:val="20"/>
          <w:szCs w:val="20"/>
        </w:rPr>
        <w:t>Glossary</w:t>
      </w:r>
    </w:p>
    <w:p w14:paraId="0312D927" w14:textId="62D5C8FA" w:rsidR="00183F19" w:rsidRDefault="00183F19" w:rsidP="00AA477D">
      <w:pPr>
        <w:pStyle w:val="ListParagraph"/>
        <w:numPr>
          <w:ilvl w:val="0"/>
          <w:numId w:val="5"/>
        </w:numPr>
        <w:spacing w:after="0" w:line="240" w:lineRule="auto"/>
        <w:rPr>
          <w:rFonts w:cstheme="minorHAnsi"/>
          <w:i/>
          <w:iCs/>
          <w:sz w:val="20"/>
          <w:szCs w:val="20"/>
        </w:rPr>
      </w:pPr>
      <w:r w:rsidRPr="00AA477D">
        <w:rPr>
          <w:rFonts w:cstheme="minorHAnsi"/>
          <w:i/>
          <w:iCs/>
          <w:sz w:val="20"/>
          <w:szCs w:val="20"/>
        </w:rPr>
        <w:t xml:space="preserve">Research and Advocacy </w:t>
      </w:r>
    </w:p>
    <w:p w14:paraId="3E8C015A" w14:textId="1C1CAE11" w:rsidR="00AA477D" w:rsidRDefault="00AA477D" w:rsidP="00AA477D">
      <w:pPr>
        <w:pStyle w:val="ListParagraph"/>
        <w:spacing w:after="0" w:line="240" w:lineRule="auto"/>
        <w:ind w:left="1440"/>
        <w:rPr>
          <w:rFonts w:cstheme="minorHAnsi"/>
          <w:i/>
          <w:iCs/>
          <w:sz w:val="20"/>
          <w:szCs w:val="20"/>
        </w:rPr>
      </w:pPr>
    </w:p>
    <w:p w14:paraId="134E89E3" w14:textId="77777777" w:rsidR="00AA477D" w:rsidRPr="00AA477D" w:rsidRDefault="00AA477D" w:rsidP="00AA477D">
      <w:pPr>
        <w:pStyle w:val="ListParagraph"/>
        <w:spacing w:after="0" w:line="240" w:lineRule="auto"/>
        <w:ind w:left="1440"/>
        <w:rPr>
          <w:rFonts w:cstheme="minorHAnsi"/>
          <w:i/>
          <w:iCs/>
          <w:sz w:val="20"/>
          <w:szCs w:val="20"/>
        </w:rPr>
      </w:pPr>
    </w:p>
    <w:p w14:paraId="6D9F1EF0" w14:textId="197A79EE" w:rsidR="00183F19" w:rsidRPr="00AA477D" w:rsidRDefault="00183F19" w:rsidP="00AA477D">
      <w:pPr>
        <w:spacing w:after="0" w:line="240" w:lineRule="auto"/>
        <w:rPr>
          <w:rFonts w:cstheme="minorHAnsi"/>
          <w:b/>
          <w:bCs/>
          <w:sz w:val="20"/>
          <w:szCs w:val="20"/>
        </w:rPr>
      </w:pPr>
      <w:r w:rsidRPr="00AA477D">
        <w:rPr>
          <w:rFonts w:cstheme="minorHAnsi"/>
          <w:b/>
          <w:bCs/>
          <w:sz w:val="20"/>
          <w:szCs w:val="20"/>
        </w:rPr>
        <w:t xml:space="preserve">3. Institutional and </w:t>
      </w:r>
      <w:r w:rsidR="00BD0BC6" w:rsidRPr="00AA477D">
        <w:rPr>
          <w:rFonts w:cstheme="minorHAnsi"/>
          <w:b/>
          <w:bCs/>
          <w:sz w:val="20"/>
          <w:szCs w:val="20"/>
        </w:rPr>
        <w:t>organizational</w:t>
      </w:r>
      <w:r w:rsidRPr="00AA477D">
        <w:rPr>
          <w:rFonts w:cstheme="minorHAnsi"/>
          <w:b/>
          <w:bCs/>
          <w:sz w:val="20"/>
          <w:szCs w:val="20"/>
        </w:rPr>
        <w:t xml:space="preserve"> arrangements</w:t>
      </w:r>
    </w:p>
    <w:p w14:paraId="0C72DFB5" w14:textId="77777777" w:rsidR="00183F19" w:rsidRPr="00AA477D" w:rsidRDefault="00183F19" w:rsidP="00AA477D">
      <w:pPr>
        <w:jc w:val="both"/>
        <w:rPr>
          <w:rFonts w:cstheme="minorHAnsi"/>
          <w:sz w:val="20"/>
          <w:szCs w:val="20"/>
        </w:rPr>
      </w:pPr>
      <w:r w:rsidRPr="00AA477D">
        <w:rPr>
          <w:rFonts w:cstheme="minorHAnsi"/>
          <w:sz w:val="20"/>
          <w:szCs w:val="20"/>
        </w:rPr>
        <w:t>The consultant will report to the regional PSS/SEL Adviser and will develop the guidelines through a participatory approach. All phases will be validated by an NRC BLP Implementation Guidelines Steering Committee composed by the MERO PSS/SEL Adviser, the MERO Capacity Development Manager and the Global Education Adviser and a long-term practitioner or Education Specialist to give filed-level feedback.</w:t>
      </w:r>
    </w:p>
    <w:p w14:paraId="2DFCD721" w14:textId="6D6D73B5" w:rsidR="00183F19" w:rsidRPr="00AA477D" w:rsidRDefault="00183F19" w:rsidP="00183F19">
      <w:pPr>
        <w:rPr>
          <w:rFonts w:cstheme="minorHAnsi"/>
          <w:sz w:val="20"/>
          <w:szCs w:val="20"/>
        </w:rPr>
      </w:pPr>
      <w:r w:rsidRPr="00AA477D">
        <w:rPr>
          <w:rFonts w:cstheme="minorHAnsi"/>
          <w:sz w:val="20"/>
          <w:szCs w:val="20"/>
        </w:rPr>
        <w:lastRenderedPageBreak/>
        <w:t xml:space="preserve">The consultants will facilitate two workshops (one at the beginning of the consultancy and one to validate the final Implementation Guidelines) with the participation of the Steering Committee, the target country offices Specialists/PDM and external stakeholders who will be identified by the Steering </w:t>
      </w:r>
      <w:r w:rsidR="00BD0BC6" w:rsidRPr="00AA477D">
        <w:rPr>
          <w:rFonts w:cstheme="minorHAnsi"/>
          <w:sz w:val="20"/>
          <w:szCs w:val="20"/>
        </w:rPr>
        <w:t>Committee</w:t>
      </w:r>
      <w:r w:rsidRPr="00AA477D">
        <w:rPr>
          <w:rFonts w:cstheme="minorHAnsi"/>
          <w:sz w:val="20"/>
          <w:szCs w:val="20"/>
        </w:rPr>
        <w:t xml:space="preserve"> (e.g. INEE, </w:t>
      </w:r>
      <w:proofErr w:type="spellStart"/>
      <w:r w:rsidRPr="00AA477D">
        <w:rPr>
          <w:rFonts w:cstheme="minorHAnsi"/>
          <w:sz w:val="20"/>
          <w:szCs w:val="20"/>
        </w:rPr>
        <w:t>MoE</w:t>
      </w:r>
      <w:proofErr w:type="spellEnd"/>
      <w:r w:rsidRPr="00AA477D">
        <w:rPr>
          <w:rFonts w:cstheme="minorHAnsi"/>
          <w:sz w:val="20"/>
          <w:szCs w:val="20"/>
        </w:rPr>
        <w:t xml:space="preserve">, UNRWA </w:t>
      </w:r>
      <w:proofErr w:type="spellStart"/>
      <w:r w:rsidRPr="00AA477D">
        <w:rPr>
          <w:rFonts w:cstheme="minorHAnsi"/>
          <w:sz w:val="20"/>
          <w:szCs w:val="20"/>
        </w:rPr>
        <w:t>etc</w:t>
      </w:r>
      <w:proofErr w:type="spellEnd"/>
      <w:r w:rsidRPr="00AA477D">
        <w:rPr>
          <w:rFonts w:cstheme="minorHAnsi"/>
          <w:sz w:val="20"/>
          <w:szCs w:val="20"/>
        </w:rPr>
        <w:t xml:space="preserve">).  </w:t>
      </w:r>
    </w:p>
    <w:p w14:paraId="57D5E58D" w14:textId="77777777" w:rsidR="00183F19" w:rsidRPr="00AA477D" w:rsidRDefault="00183F19" w:rsidP="00183F19">
      <w:pPr>
        <w:rPr>
          <w:rFonts w:cstheme="minorHAnsi"/>
          <w:color w:val="4F81BD" w:themeColor="accent1"/>
          <w:sz w:val="20"/>
          <w:szCs w:val="20"/>
        </w:rPr>
      </w:pPr>
      <w:r w:rsidRPr="00AA477D">
        <w:rPr>
          <w:rFonts w:cstheme="minorHAnsi"/>
          <w:sz w:val="20"/>
          <w:szCs w:val="20"/>
        </w:rPr>
        <w:t>NRC will own the intellectual property rights to all materials submitted by the consultants under the contract. The consultants must therefore ensure that they have possession of any materials provided to NRC as a part of the deliverable. The rights to reproduce the reports will fall to NRC and its contracted agents. NRC will be free to reproduce the materials at will and to grant reproduction rights.</w:t>
      </w:r>
    </w:p>
    <w:p w14:paraId="41B04530" w14:textId="77777777" w:rsidR="00183F19" w:rsidRPr="00AA477D" w:rsidRDefault="00183F19" w:rsidP="00183F19">
      <w:pPr>
        <w:rPr>
          <w:rFonts w:cstheme="minorHAnsi"/>
          <w:b/>
          <w:sz w:val="20"/>
          <w:szCs w:val="20"/>
        </w:rPr>
      </w:pPr>
      <w:r w:rsidRPr="00AA477D">
        <w:rPr>
          <w:rFonts w:cstheme="minorHAnsi"/>
          <w:b/>
          <w:bCs/>
          <w:sz w:val="20"/>
          <w:szCs w:val="20"/>
        </w:rPr>
        <w:t>Duties of the consultant</w:t>
      </w:r>
    </w:p>
    <w:p w14:paraId="225B0A4C" w14:textId="77777777" w:rsidR="00183F19" w:rsidRPr="00AA477D" w:rsidRDefault="00183F19" w:rsidP="00183F19">
      <w:pPr>
        <w:jc w:val="both"/>
        <w:rPr>
          <w:rFonts w:cstheme="minorHAnsi"/>
          <w:sz w:val="20"/>
          <w:szCs w:val="20"/>
        </w:rPr>
      </w:pPr>
      <w:r w:rsidRPr="00AA477D">
        <w:rPr>
          <w:rFonts w:cstheme="minorHAnsi"/>
          <w:sz w:val="20"/>
          <w:szCs w:val="20"/>
        </w:rPr>
        <w:t>At the inception phase of this assignment the identified consultant will coordinate with the Steering Committee to define a more detailed consultancy agenda and steps’ validation. The first step will be to implement a desk review about existing BLP and PSS-SEL documents. Based on the desk review the consultant will draft an inception report that will also include an outline of the workshops design and agenda. The consultant will work in close collaboration with the above-mentioned stakeholders and design an on line survey if needed. The draft of the Implementation Guidelines will be submitted for a first internal revision to be presented in a validation workshop to inform the final submission.</w:t>
      </w:r>
    </w:p>
    <w:p w14:paraId="19A6C081" w14:textId="77777777" w:rsidR="00183F19" w:rsidRPr="00AA477D" w:rsidRDefault="00183F19" w:rsidP="00183F19">
      <w:pPr>
        <w:jc w:val="both"/>
        <w:rPr>
          <w:rFonts w:cstheme="minorHAnsi"/>
          <w:sz w:val="20"/>
          <w:szCs w:val="20"/>
        </w:rPr>
      </w:pPr>
      <w:r w:rsidRPr="00AA477D">
        <w:rPr>
          <w:rFonts w:cstheme="minorHAnsi"/>
          <w:sz w:val="20"/>
          <w:szCs w:val="20"/>
        </w:rPr>
        <w:t>All the above steps will have to be validated during the inception phase of this consultancy and in cooperation with the Steering Committee.</w:t>
      </w:r>
    </w:p>
    <w:p w14:paraId="2D33E5DD" w14:textId="77777777" w:rsidR="00183F19" w:rsidRPr="00AA477D" w:rsidRDefault="00183F19" w:rsidP="00183F19">
      <w:pPr>
        <w:jc w:val="both"/>
        <w:rPr>
          <w:rFonts w:cstheme="minorHAnsi"/>
          <w:iCs/>
          <w:color w:val="4F81BD" w:themeColor="accent1"/>
          <w:sz w:val="20"/>
          <w:szCs w:val="20"/>
        </w:rPr>
      </w:pPr>
      <w:r w:rsidRPr="00AA477D">
        <w:rPr>
          <w:rFonts w:cstheme="minorHAnsi"/>
          <w:sz w:val="20"/>
          <w:szCs w:val="20"/>
        </w:rPr>
        <w:t>Reports should be submitted in Microsoft Word format, in UK English. All text should be unformatted</w:t>
      </w:r>
      <w:r w:rsidRPr="00AA477D">
        <w:rPr>
          <w:rFonts w:cstheme="minorHAnsi"/>
          <w:iCs/>
          <w:sz w:val="20"/>
          <w:szCs w:val="20"/>
        </w:rPr>
        <w:t xml:space="preserve">. Graphs or other graphical devices should be editable (i.e. not pictures). All references must be cited according to convention, and detailed in a bibliography, using the Harvard system as set out in the </w:t>
      </w:r>
      <w:hyperlink r:id="rId11">
        <w:r w:rsidRPr="00AA477D">
          <w:rPr>
            <w:rStyle w:val="Hyperlink"/>
            <w:rFonts w:cstheme="minorHAnsi"/>
            <w:iCs/>
            <w:sz w:val="20"/>
            <w:szCs w:val="20"/>
          </w:rPr>
          <w:t>UNESCO Style Manual</w:t>
        </w:r>
      </w:hyperlink>
      <w:r w:rsidRPr="00AA477D">
        <w:rPr>
          <w:rFonts w:cstheme="minorHAnsi"/>
          <w:iCs/>
          <w:sz w:val="20"/>
          <w:szCs w:val="20"/>
        </w:rPr>
        <w:t xml:space="preserve">. All verbatim quotations must appear in quotation marks, and must not be of excessive length. All data collected under the consultancy must be submitted with the deliverables, in a widely </w:t>
      </w:r>
      <w:proofErr w:type="spellStart"/>
      <w:r w:rsidRPr="00AA477D">
        <w:rPr>
          <w:rFonts w:cstheme="minorHAnsi"/>
          <w:iCs/>
          <w:sz w:val="20"/>
          <w:szCs w:val="20"/>
        </w:rPr>
        <w:t>recognised</w:t>
      </w:r>
      <w:proofErr w:type="spellEnd"/>
      <w:r w:rsidRPr="00AA477D">
        <w:rPr>
          <w:rFonts w:cstheme="minorHAnsi"/>
          <w:iCs/>
          <w:sz w:val="20"/>
          <w:szCs w:val="20"/>
        </w:rPr>
        <w:t xml:space="preserve"> format such as Microsoft Excel.</w:t>
      </w:r>
    </w:p>
    <w:p w14:paraId="3B061053" w14:textId="77777777" w:rsidR="00183F19" w:rsidRPr="00AA477D" w:rsidRDefault="00183F19" w:rsidP="00183F19">
      <w:pPr>
        <w:jc w:val="both"/>
        <w:rPr>
          <w:rFonts w:cstheme="minorHAnsi"/>
          <w:iCs/>
          <w:sz w:val="20"/>
          <w:szCs w:val="20"/>
        </w:rPr>
      </w:pPr>
      <w:r w:rsidRPr="00AA477D">
        <w:rPr>
          <w:rFonts w:cstheme="minorHAnsi"/>
          <w:iCs/>
          <w:sz w:val="20"/>
          <w:szCs w:val="20"/>
        </w:rPr>
        <w:t>Everything submitted to NRC must be the original work of the consultants. Any plagiarism in any form, or any other breach of intellectual property rights, will automatically disqualify the consultant from receiving any further payments under the contract by NRC, and NRC will seek to recover any payments already made.</w:t>
      </w:r>
    </w:p>
    <w:p w14:paraId="72AD0D1A" w14:textId="77777777" w:rsidR="00183F19" w:rsidRPr="00AA477D" w:rsidRDefault="00183F19" w:rsidP="00183F19">
      <w:pPr>
        <w:jc w:val="both"/>
        <w:rPr>
          <w:rFonts w:cstheme="minorHAnsi"/>
          <w:iCs/>
          <w:sz w:val="20"/>
          <w:szCs w:val="20"/>
        </w:rPr>
      </w:pPr>
      <w:r w:rsidRPr="00AA477D">
        <w:rPr>
          <w:rFonts w:cstheme="minorHAnsi"/>
          <w:iCs/>
          <w:sz w:val="20"/>
          <w:szCs w:val="20"/>
        </w:rPr>
        <w:t xml:space="preserve">The consultant will follow </w:t>
      </w:r>
      <w:hyperlink r:id="rId12">
        <w:r w:rsidRPr="00AA477D">
          <w:rPr>
            <w:rStyle w:val="Hyperlink"/>
            <w:rFonts w:cstheme="minorHAnsi"/>
            <w:iCs/>
            <w:sz w:val="20"/>
            <w:szCs w:val="20"/>
          </w:rPr>
          <w:t>Ethical Research Involving Children</w:t>
        </w:r>
      </w:hyperlink>
      <w:r w:rsidRPr="00AA477D">
        <w:rPr>
          <w:rFonts w:cstheme="minorHAnsi"/>
          <w:iCs/>
          <w:sz w:val="20"/>
          <w:szCs w:val="20"/>
        </w:rPr>
        <w:t xml:space="preserve"> guidance on the ethical participation of children. In addition, all participants in any study or other interaction will be fully informed about the nature and purpose of the interaction and their requested involvement</w:t>
      </w:r>
      <w:r w:rsidRPr="00AA477D">
        <w:rPr>
          <w:rFonts w:cstheme="minorHAnsi"/>
          <w:sz w:val="20"/>
          <w:szCs w:val="20"/>
        </w:rPr>
        <w:t xml:space="preserve">. </w:t>
      </w:r>
      <w:r w:rsidRPr="00AA477D">
        <w:rPr>
          <w:rFonts w:cstheme="minorHAnsi"/>
          <w:iCs/>
          <w:sz w:val="20"/>
          <w:szCs w:val="20"/>
        </w:rPr>
        <w:t>Informed consent must be obtained for any photographs, audio or video recordings, etc., in accordance with NRC’s policy on consent.</w:t>
      </w:r>
    </w:p>
    <w:p w14:paraId="73DC8D30" w14:textId="77777777" w:rsidR="00183F19" w:rsidRPr="00AA477D" w:rsidRDefault="00183F19" w:rsidP="00183F19">
      <w:pPr>
        <w:rPr>
          <w:rFonts w:cstheme="minorHAnsi"/>
          <w:i/>
          <w:sz w:val="20"/>
          <w:szCs w:val="20"/>
        </w:rPr>
      </w:pPr>
      <w:r w:rsidRPr="00AA477D">
        <w:rPr>
          <w:rFonts w:cstheme="minorHAnsi"/>
          <w:b/>
          <w:sz w:val="20"/>
          <w:szCs w:val="20"/>
        </w:rPr>
        <w:t>Duties of NRC</w:t>
      </w:r>
    </w:p>
    <w:p w14:paraId="6F215642" w14:textId="77777777" w:rsidR="00183F19" w:rsidRPr="00AA477D" w:rsidRDefault="00183F19" w:rsidP="00183F19">
      <w:pPr>
        <w:jc w:val="both"/>
        <w:rPr>
          <w:rFonts w:cstheme="minorHAnsi"/>
          <w:color w:val="4F81BD" w:themeColor="accent1"/>
          <w:sz w:val="20"/>
          <w:szCs w:val="20"/>
        </w:rPr>
      </w:pPr>
      <w:r w:rsidRPr="00AA477D">
        <w:rPr>
          <w:rFonts w:cstheme="minorHAnsi"/>
          <w:sz w:val="20"/>
          <w:szCs w:val="20"/>
        </w:rPr>
        <w:t xml:space="preserve">The Steering Committee will facilitate a smooth consultancy process </w:t>
      </w:r>
      <w:proofErr w:type="spellStart"/>
      <w:r w:rsidRPr="00AA477D">
        <w:rPr>
          <w:rFonts w:cstheme="minorHAnsi"/>
          <w:sz w:val="20"/>
          <w:szCs w:val="20"/>
        </w:rPr>
        <w:t>mang</w:t>
      </w:r>
      <w:proofErr w:type="spellEnd"/>
      <w:r w:rsidRPr="00AA477D">
        <w:rPr>
          <w:rFonts w:cstheme="minorHAnsi"/>
          <w:sz w:val="20"/>
          <w:szCs w:val="20"/>
        </w:rPr>
        <w:t xml:space="preserve"> sure appropriate coordination is in place among stakeholders and timely delivery. As the consultant is not expected to travel dug this consultancy, NRC will not pay for travel costs, telephone and internet expenses, nor NRC will be responsible to provide working equipment and insurance.</w:t>
      </w:r>
    </w:p>
    <w:p w14:paraId="5C5AB953" w14:textId="77777777" w:rsidR="00183F19" w:rsidRPr="00AA477D" w:rsidRDefault="00183F19" w:rsidP="00183F19">
      <w:pPr>
        <w:rPr>
          <w:rFonts w:cstheme="minorHAnsi"/>
          <w:b/>
          <w:sz w:val="20"/>
          <w:szCs w:val="20"/>
        </w:rPr>
      </w:pPr>
      <w:r w:rsidRPr="00AA477D">
        <w:rPr>
          <w:rFonts w:cstheme="minorHAnsi"/>
          <w:b/>
          <w:bCs/>
          <w:sz w:val="20"/>
          <w:szCs w:val="20"/>
        </w:rPr>
        <w:t>4. Implementation schedule and estimated inputs</w:t>
      </w:r>
    </w:p>
    <w:p w14:paraId="1F84837D" w14:textId="77777777" w:rsidR="00183F19" w:rsidRPr="00AA477D" w:rsidRDefault="00183F19" w:rsidP="00183F19">
      <w:pPr>
        <w:ind w:left="357" w:hanging="357"/>
        <w:rPr>
          <w:rFonts w:cstheme="minorHAnsi"/>
          <w:color w:val="9BBB59" w:themeColor="accent3"/>
          <w:sz w:val="20"/>
          <w:szCs w:val="20"/>
        </w:rPr>
      </w:pPr>
      <w:r w:rsidRPr="00AA477D">
        <w:rPr>
          <w:rFonts w:cstheme="minorHAnsi"/>
          <w:sz w:val="20"/>
          <w:szCs w:val="20"/>
        </w:rPr>
        <w:t>Below the expected consultancy deliverables-</w:t>
      </w:r>
      <w:r w:rsidRPr="00AA477D">
        <w:rPr>
          <w:rFonts w:cstheme="minorHAnsi"/>
          <w:i/>
          <w:iCs/>
          <w:sz w:val="20"/>
          <w:szCs w:val="20"/>
        </w:rPr>
        <w:t>within the set deadlines highlighted.</w:t>
      </w:r>
    </w:p>
    <w:p w14:paraId="474F9F67" w14:textId="77777777" w:rsidR="00AA477D" w:rsidRDefault="00183F19" w:rsidP="00AA477D">
      <w:pPr>
        <w:pStyle w:val="ListParagraph"/>
        <w:numPr>
          <w:ilvl w:val="0"/>
          <w:numId w:val="13"/>
        </w:numPr>
        <w:spacing w:before="200"/>
        <w:jc w:val="both"/>
        <w:rPr>
          <w:rFonts w:cstheme="minorHAnsi"/>
          <w:sz w:val="20"/>
          <w:szCs w:val="20"/>
        </w:rPr>
      </w:pPr>
      <w:r w:rsidRPr="00AA477D">
        <w:rPr>
          <w:rFonts w:cstheme="minorHAnsi"/>
          <w:sz w:val="20"/>
          <w:szCs w:val="20"/>
        </w:rPr>
        <w:t>Agenda, methodology and supporting documents for the two mentioned workshops;</w:t>
      </w:r>
    </w:p>
    <w:p w14:paraId="4F71A18F" w14:textId="77777777" w:rsidR="00AA477D" w:rsidRDefault="00183F19" w:rsidP="00AA477D">
      <w:pPr>
        <w:pStyle w:val="ListParagraph"/>
        <w:numPr>
          <w:ilvl w:val="0"/>
          <w:numId w:val="13"/>
        </w:numPr>
        <w:spacing w:before="200"/>
        <w:jc w:val="both"/>
        <w:rPr>
          <w:rFonts w:cstheme="minorHAnsi"/>
          <w:sz w:val="20"/>
          <w:szCs w:val="20"/>
        </w:rPr>
      </w:pPr>
      <w:r w:rsidRPr="00AA477D">
        <w:rPr>
          <w:rFonts w:cstheme="minorHAnsi"/>
          <w:sz w:val="20"/>
          <w:szCs w:val="20"/>
        </w:rPr>
        <w:lastRenderedPageBreak/>
        <w:t>BLP Implementation Guidelines;</w:t>
      </w:r>
    </w:p>
    <w:p w14:paraId="7DFF8B3A" w14:textId="77777777" w:rsidR="00AA477D" w:rsidRDefault="00183F19" w:rsidP="00AA477D">
      <w:pPr>
        <w:pStyle w:val="ListParagraph"/>
        <w:numPr>
          <w:ilvl w:val="0"/>
          <w:numId w:val="13"/>
        </w:numPr>
        <w:spacing w:before="200"/>
        <w:jc w:val="both"/>
        <w:rPr>
          <w:rFonts w:cstheme="minorHAnsi"/>
          <w:sz w:val="20"/>
          <w:szCs w:val="20"/>
        </w:rPr>
      </w:pPr>
      <w:r w:rsidRPr="00AA477D">
        <w:rPr>
          <w:rFonts w:cstheme="minorHAnsi"/>
          <w:sz w:val="20"/>
          <w:szCs w:val="20"/>
        </w:rPr>
        <w:t xml:space="preserve">Short and simplified summary version of the BLP Implementation Guidelines; </w:t>
      </w:r>
    </w:p>
    <w:p w14:paraId="670AA834" w14:textId="1DE89096" w:rsidR="00183F19" w:rsidRPr="00AA477D" w:rsidRDefault="00183F19" w:rsidP="00AA477D">
      <w:pPr>
        <w:pStyle w:val="ListParagraph"/>
        <w:numPr>
          <w:ilvl w:val="0"/>
          <w:numId w:val="13"/>
        </w:numPr>
        <w:spacing w:before="200"/>
        <w:jc w:val="both"/>
        <w:rPr>
          <w:rFonts w:cstheme="minorHAnsi"/>
          <w:sz w:val="20"/>
          <w:szCs w:val="20"/>
        </w:rPr>
      </w:pPr>
      <w:r w:rsidRPr="00AA477D">
        <w:rPr>
          <w:rFonts w:cstheme="minorHAnsi"/>
          <w:sz w:val="20"/>
          <w:szCs w:val="20"/>
        </w:rPr>
        <w:t>Consultancy final 3-pager report and recommendations.</w:t>
      </w:r>
    </w:p>
    <w:p w14:paraId="1EE3BC8B" w14:textId="77777777" w:rsidR="00183F19" w:rsidRPr="00AA477D" w:rsidRDefault="00183F19" w:rsidP="00183F19">
      <w:pPr>
        <w:rPr>
          <w:rFonts w:cstheme="minorHAnsi"/>
          <w:color w:val="9BBB59" w:themeColor="accent3"/>
          <w:sz w:val="20"/>
          <w:szCs w:val="20"/>
        </w:rPr>
      </w:pPr>
      <w:r w:rsidRPr="00AA477D">
        <w:rPr>
          <w:rFonts w:cstheme="minorHAnsi"/>
          <w:sz w:val="20"/>
          <w:szCs w:val="20"/>
        </w:rPr>
        <w:t xml:space="preserve">A more detailed working plan will be defined with the consultant during the kick off phase: </w:t>
      </w:r>
    </w:p>
    <w:tbl>
      <w:tblPr>
        <w:tblStyle w:val="TableGrid"/>
        <w:tblW w:w="9027" w:type="dxa"/>
        <w:tblInd w:w="-95" w:type="dxa"/>
        <w:tblLayout w:type="fixed"/>
        <w:tblLook w:val="04A0" w:firstRow="1" w:lastRow="0" w:firstColumn="1" w:lastColumn="0" w:noHBand="0" w:noVBand="1"/>
      </w:tblPr>
      <w:tblGrid>
        <w:gridCol w:w="425"/>
        <w:gridCol w:w="6047"/>
        <w:gridCol w:w="511"/>
        <w:gridCol w:w="511"/>
        <w:gridCol w:w="511"/>
        <w:gridCol w:w="511"/>
        <w:gridCol w:w="511"/>
      </w:tblGrid>
      <w:tr w:rsidR="00183F19" w:rsidRPr="00AA477D" w14:paraId="3B8C955F" w14:textId="77777777" w:rsidTr="00464240">
        <w:trPr>
          <w:trHeight w:val="462"/>
        </w:trPr>
        <w:tc>
          <w:tcPr>
            <w:tcW w:w="425" w:type="dxa"/>
          </w:tcPr>
          <w:p w14:paraId="21C4D852" w14:textId="77777777" w:rsidR="00183F19" w:rsidRPr="00AA477D" w:rsidRDefault="00183F19" w:rsidP="00464240">
            <w:pPr>
              <w:pStyle w:val="NoSpacing"/>
              <w:rPr>
                <w:rFonts w:cstheme="minorHAnsi"/>
                <w:b/>
                <w:bCs/>
                <w:color w:val="9BBB59" w:themeColor="accent3"/>
                <w:sz w:val="20"/>
                <w:szCs w:val="20"/>
              </w:rPr>
            </w:pPr>
            <w:r w:rsidRPr="00AA477D">
              <w:rPr>
                <w:rFonts w:cstheme="minorHAnsi"/>
                <w:b/>
                <w:bCs/>
                <w:sz w:val="20"/>
                <w:szCs w:val="20"/>
              </w:rPr>
              <w:t>#</w:t>
            </w:r>
          </w:p>
        </w:tc>
        <w:tc>
          <w:tcPr>
            <w:tcW w:w="6047" w:type="dxa"/>
          </w:tcPr>
          <w:p w14:paraId="17AB81A1" w14:textId="77777777" w:rsidR="00183F19" w:rsidRPr="00AA477D" w:rsidRDefault="00183F19" w:rsidP="00464240">
            <w:pPr>
              <w:pStyle w:val="NoSpacing"/>
              <w:rPr>
                <w:rFonts w:cstheme="minorHAnsi"/>
                <w:b/>
                <w:bCs/>
                <w:color w:val="9BBB59" w:themeColor="accent3"/>
                <w:sz w:val="20"/>
                <w:szCs w:val="20"/>
              </w:rPr>
            </w:pPr>
            <w:r w:rsidRPr="00AA477D">
              <w:rPr>
                <w:rFonts w:cstheme="minorHAnsi"/>
                <w:b/>
                <w:bCs/>
                <w:sz w:val="20"/>
                <w:szCs w:val="20"/>
              </w:rPr>
              <w:t>Description</w:t>
            </w:r>
          </w:p>
        </w:tc>
        <w:tc>
          <w:tcPr>
            <w:tcW w:w="511" w:type="dxa"/>
            <w:shd w:val="clear" w:color="auto" w:fill="auto"/>
          </w:tcPr>
          <w:p w14:paraId="2998CE0A" w14:textId="77777777" w:rsidR="00183F19" w:rsidRPr="00AA477D" w:rsidRDefault="00183F19" w:rsidP="00464240">
            <w:pPr>
              <w:pStyle w:val="NoSpacing"/>
              <w:rPr>
                <w:rFonts w:cstheme="minorHAnsi"/>
                <w:b/>
                <w:bCs/>
                <w:color w:val="9BBB59" w:themeColor="accent3"/>
                <w:sz w:val="20"/>
                <w:szCs w:val="20"/>
              </w:rPr>
            </w:pPr>
            <w:r w:rsidRPr="00AA477D">
              <w:rPr>
                <w:rFonts w:cstheme="minorHAnsi"/>
                <w:b/>
                <w:bCs/>
                <w:sz w:val="20"/>
                <w:szCs w:val="20"/>
              </w:rPr>
              <w:t>W1</w:t>
            </w:r>
          </w:p>
        </w:tc>
        <w:tc>
          <w:tcPr>
            <w:tcW w:w="511" w:type="dxa"/>
            <w:shd w:val="clear" w:color="auto" w:fill="auto"/>
          </w:tcPr>
          <w:p w14:paraId="66251339" w14:textId="77777777" w:rsidR="00183F19" w:rsidRPr="00AA477D" w:rsidRDefault="00183F19" w:rsidP="00464240">
            <w:pPr>
              <w:pStyle w:val="NoSpacing"/>
              <w:rPr>
                <w:rFonts w:cstheme="minorHAnsi"/>
                <w:b/>
                <w:bCs/>
                <w:color w:val="9BBB59" w:themeColor="accent3"/>
                <w:sz w:val="20"/>
                <w:szCs w:val="20"/>
              </w:rPr>
            </w:pPr>
            <w:r w:rsidRPr="00AA477D">
              <w:rPr>
                <w:rFonts w:cstheme="minorHAnsi"/>
                <w:b/>
                <w:bCs/>
                <w:sz w:val="20"/>
                <w:szCs w:val="20"/>
              </w:rPr>
              <w:t>W2</w:t>
            </w:r>
          </w:p>
        </w:tc>
        <w:tc>
          <w:tcPr>
            <w:tcW w:w="511" w:type="dxa"/>
            <w:shd w:val="clear" w:color="auto" w:fill="auto"/>
          </w:tcPr>
          <w:p w14:paraId="375F5763" w14:textId="77777777" w:rsidR="00183F19" w:rsidRPr="00AA477D" w:rsidRDefault="00183F19" w:rsidP="00464240">
            <w:pPr>
              <w:pStyle w:val="NoSpacing"/>
              <w:rPr>
                <w:rFonts w:cstheme="minorHAnsi"/>
                <w:b/>
                <w:bCs/>
                <w:color w:val="9BBB59" w:themeColor="accent3"/>
                <w:sz w:val="20"/>
                <w:szCs w:val="20"/>
              </w:rPr>
            </w:pPr>
            <w:r w:rsidRPr="00AA477D">
              <w:rPr>
                <w:rFonts w:cstheme="minorHAnsi"/>
                <w:b/>
                <w:bCs/>
                <w:sz w:val="20"/>
                <w:szCs w:val="20"/>
              </w:rPr>
              <w:t>W3</w:t>
            </w:r>
          </w:p>
        </w:tc>
        <w:tc>
          <w:tcPr>
            <w:tcW w:w="511" w:type="dxa"/>
          </w:tcPr>
          <w:p w14:paraId="5FA83719" w14:textId="77777777" w:rsidR="00183F19" w:rsidRPr="00AA477D" w:rsidRDefault="00183F19" w:rsidP="00464240">
            <w:pPr>
              <w:pStyle w:val="NoSpacing"/>
              <w:rPr>
                <w:rFonts w:cstheme="minorHAnsi"/>
                <w:b/>
                <w:bCs/>
                <w:color w:val="9BBB59" w:themeColor="accent3"/>
                <w:sz w:val="20"/>
                <w:szCs w:val="20"/>
              </w:rPr>
            </w:pPr>
            <w:r w:rsidRPr="00AA477D">
              <w:rPr>
                <w:rFonts w:cstheme="minorHAnsi"/>
                <w:b/>
                <w:bCs/>
                <w:sz w:val="20"/>
                <w:szCs w:val="20"/>
              </w:rPr>
              <w:t>W4</w:t>
            </w:r>
          </w:p>
        </w:tc>
        <w:tc>
          <w:tcPr>
            <w:tcW w:w="511" w:type="dxa"/>
          </w:tcPr>
          <w:p w14:paraId="53569485" w14:textId="77777777" w:rsidR="00183F19" w:rsidRPr="00AA477D" w:rsidRDefault="00183F19" w:rsidP="00464240">
            <w:pPr>
              <w:pStyle w:val="NoSpacing"/>
              <w:rPr>
                <w:rFonts w:cstheme="minorHAnsi"/>
                <w:b/>
                <w:bCs/>
                <w:sz w:val="20"/>
                <w:szCs w:val="20"/>
              </w:rPr>
            </w:pPr>
            <w:r w:rsidRPr="00AA477D">
              <w:rPr>
                <w:rFonts w:cstheme="minorHAnsi"/>
                <w:b/>
                <w:bCs/>
                <w:sz w:val="20"/>
                <w:szCs w:val="20"/>
              </w:rPr>
              <w:t>W5</w:t>
            </w:r>
          </w:p>
        </w:tc>
      </w:tr>
      <w:tr w:rsidR="00183F19" w:rsidRPr="00AA477D" w14:paraId="3E3B12B7" w14:textId="77777777" w:rsidTr="00464240">
        <w:trPr>
          <w:trHeight w:val="226"/>
        </w:trPr>
        <w:tc>
          <w:tcPr>
            <w:tcW w:w="425" w:type="dxa"/>
          </w:tcPr>
          <w:p w14:paraId="1B4B3C4C"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1</w:t>
            </w:r>
          </w:p>
        </w:tc>
        <w:tc>
          <w:tcPr>
            <w:tcW w:w="6047" w:type="dxa"/>
          </w:tcPr>
          <w:p w14:paraId="305500D5"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Consultancy kick off and definition of a detailed consultancy agenda</w:t>
            </w:r>
          </w:p>
        </w:tc>
        <w:tc>
          <w:tcPr>
            <w:tcW w:w="511" w:type="dxa"/>
            <w:shd w:val="clear" w:color="auto" w:fill="EEECE1" w:themeFill="background2"/>
          </w:tcPr>
          <w:p w14:paraId="480DC152"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52BE4DBD"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69B93B87" w14:textId="77777777" w:rsidR="00183F19" w:rsidRPr="00AA477D" w:rsidRDefault="00183F19" w:rsidP="00464240">
            <w:pPr>
              <w:pStyle w:val="NoSpacing"/>
              <w:rPr>
                <w:rFonts w:cstheme="minorHAnsi"/>
                <w:color w:val="9BBB59" w:themeColor="accent3"/>
                <w:sz w:val="20"/>
                <w:szCs w:val="20"/>
              </w:rPr>
            </w:pPr>
          </w:p>
        </w:tc>
        <w:tc>
          <w:tcPr>
            <w:tcW w:w="511" w:type="dxa"/>
          </w:tcPr>
          <w:p w14:paraId="022D8B27" w14:textId="77777777" w:rsidR="00183F19" w:rsidRPr="00AA477D" w:rsidRDefault="00183F19" w:rsidP="00464240">
            <w:pPr>
              <w:pStyle w:val="NoSpacing"/>
              <w:rPr>
                <w:rFonts w:cstheme="minorHAnsi"/>
                <w:color w:val="9BBB59" w:themeColor="accent3"/>
                <w:sz w:val="20"/>
                <w:szCs w:val="20"/>
              </w:rPr>
            </w:pPr>
          </w:p>
        </w:tc>
        <w:tc>
          <w:tcPr>
            <w:tcW w:w="511" w:type="dxa"/>
          </w:tcPr>
          <w:p w14:paraId="28401A3B" w14:textId="77777777" w:rsidR="00183F19" w:rsidRPr="00AA477D" w:rsidRDefault="00183F19" w:rsidP="00464240">
            <w:pPr>
              <w:pStyle w:val="NoSpacing"/>
              <w:rPr>
                <w:rFonts w:cstheme="minorHAnsi"/>
                <w:color w:val="9BBB59" w:themeColor="accent3"/>
                <w:sz w:val="20"/>
                <w:szCs w:val="20"/>
              </w:rPr>
            </w:pPr>
          </w:p>
        </w:tc>
      </w:tr>
      <w:tr w:rsidR="00183F19" w:rsidRPr="00AA477D" w14:paraId="178DC2C2" w14:textId="77777777" w:rsidTr="00464240">
        <w:trPr>
          <w:trHeight w:val="226"/>
        </w:trPr>
        <w:tc>
          <w:tcPr>
            <w:tcW w:w="425" w:type="dxa"/>
          </w:tcPr>
          <w:p w14:paraId="7B49D9AF"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2</w:t>
            </w:r>
          </w:p>
        </w:tc>
        <w:tc>
          <w:tcPr>
            <w:tcW w:w="6047" w:type="dxa"/>
          </w:tcPr>
          <w:p w14:paraId="5B30FB4B"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Desk review of BLP documents</w:t>
            </w:r>
          </w:p>
        </w:tc>
        <w:tc>
          <w:tcPr>
            <w:tcW w:w="511" w:type="dxa"/>
            <w:shd w:val="clear" w:color="auto" w:fill="EEECE1" w:themeFill="background2"/>
          </w:tcPr>
          <w:p w14:paraId="01255BAB"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113A666C"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0877F2AA" w14:textId="77777777" w:rsidR="00183F19" w:rsidRPr="00AA477D" w:rsidRDefault="00183F19" w:rsidP="00464240">
            <w:pPr>
              <w:pStyle w:val="NoSpacing"/>
              <w:rPr>
                <w:rFonts w:cstheme="minorHAnsi"/>
                <w:color w:val="9BBB59" w:themeColor="accent3"/>
                <w:sz w:val="20"/>
                <w:szCs w:val="20"/>
              </w:rPr>
            </w:pPr>
          </w:p>
        </w:tc>
        <w:tc>
          <w:tcPr>
            <w:tcW w:w="511" w:type="dxa"/>
          </w:tcPr>
          <w:p w14:paraId="7CA50FED" w14:textId="77777777" w:rsidR="00183F19" w:rsidRPr="00AA477D" w:rsidRDefault="00183F19" w:rsidP="00464240">
            <w:pPr>
              <w:pStyle w:val="NoSpacing"/>
              <w:rPr>
                <w:rFonts w:cstheme="minorHAnsi"/>
                <w:color w:val="9BBB59" w:themeColor="accent3"/>
                <w:sz w:val="20"/>
                <w:szCs w:val="20"/>
              </w:rPr>
            </w:pPr>
          </w:p>
        </w:tc>
        <w:tc>
          <w:tcPr>
            <w:tcW w:w="511" w:type="dxa"/>
          </w:tcPr>
          <w:p w14:paraId="6360E713" w14:textId="77777777" w:rsidR="00183F19" w:rsidRPr="00AA477D" w:rsidRDefault="00183F19" w:rsidP="00464240">
            <w:pPr>
              <w:pStyle w:val="NoSpacing"/>
              <w:rPr>
                <w:rFonts w:cstheme="minorHAnsi"/>
                <w:color w:val="9BBB59" w:themeColor="accent3"/>
                <w:sz w:val="20"/>
                <w:szCs w:val="20"/>
              </w:rPr>
            </w:pPr>
          </w:p>
        </w:tc>
      </w:tr>
      <w:tr w:rsidR="00183F19" w:rsidRPr="00AA477D" w14:paraId="1784B90C" w14:textId="77777777" w:rsidTr="00464240">
        <w:trPr>
          <w:trHeight w:val="226"/>
        </w:trPr>
        <w:tc>
          <w:tcPr>
            <w:tcW w:w="425" w:type="dxa"/>
          </w:tcPr>
          <w:p w14:paraId="347553CF"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3</w:t>
            </w:r>
          </w:p>
        </w:tc>
        <w:tc>
          <w:tcPr>
            <w:tcW w:w="6047" w:type="dxa"/>
          </w:tcPr>
          <w:p w14:paraId="141D030B"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 xml:space="preserve">Inception report and workshop design/agenda </w:t>
            </w:r>
          </w:p>
        </w:tc>
        <w:tc>
          <w:tcPr>
            <w:tcW w:w="511" w:type="dxa"/>
            <w:shd w:val="clear" w:color="auto" w:fill="EEECE1" w:themeFill="background2"/>
          </w:tcPr>
          <w:p w14:paraId="380A847A"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0689211A"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55C7A1AF" w14:textId="77777777" w:rsidR="00183F19" w:rsidRPr="00AA477D" w:rsidRDefault="00183F19" w:rsidP="00464240">
            <w:pPr>
              <w:pStyle w:val="NoSpacing"/>
              <w:rPr>
                <w:rFonts w:cstheme="minorHAnsi"/>
                <w:color w:val="9BBB59" w:themeColor="accent3"/>
                <w:sz w:val="20"/>
                <w:szCs w:val="20"/>
              </w:rPr>
            </w:pPr>
          </w:p>
        </w:tc>
        <w:tc>
          <w:tcPr>
            <w:tcW w:w="511" w:type="dxa"/>
          </w:tcPr>
          <w:p w14:paraId="66929C1A" w14:textId="77777777" w:rsidR="00183F19" w:rsidRPr="00AA477D" w:rsidRDefault="00183F19" w:rsidP="00464240">
            <w:pPr>
              <w:pStyle w:val="NoSpacing"/>
              <w:rPr>
                <w:rFonts w:cstheme="minorHAnsi"/>
                <w:color w:val="9BBB59" w:themeColor="accent3"/>
                <w:sz w:val="20"/>
                <w:szCs w:val="20"/>
              </w:rPr>
            </w:pPr>
          </w:p>
        </w:tc>
        <w:tc>
          <w:tcPr>
            <w:tcW w:w="511" w:type="dxa"/>
          </w:tcPr>
          <w:p w14:paraId="217B7002" w14:textId="77777777" w:rsidR="00183F19" w:rsidRPr="00AA477D" w:rsidRDefault="00183F19" w:rsidP="00464240">
            <w:pPr>
              <w:pStyle w:val="NoSpacing"/>
              <w:rPr>
                <w:rFonts w:cstheme="minorHAnsi"/>
                <w:color w:val="9BBB59" w:themeColor="accent3"/>
                <w:sz w:val="20"/>
                <w:szCs w:val="20"/>
              </w:rPr>
            </w:pPr>
          </w:p>
        </w:tc>
      </w:tr>
      <w:tr w:rsidR="00183F19" w:rsidRPr="00AA477D" w14:paraId="76124137" w14:textId="77777777" w:rsidTr="00464240">
        <w:trPr>
          <w:trHeight w:val="235"/>
        </w:trPr>
        <w:tc>
          <w:tcPr>
            <w:tcW w:w="425" w:type="dxa"/>
          </w:tcPr>
          <w:p w14:paraId="59BBBD4D"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4</w:t>
            </w:r>
          </w:p>
        </w:tc>
        <w:tc>
          <w:tcPr>
            <w:tcW w:w="6047" w:type="dxa"/>
          </w:tcPr>
          <w:p w14:paraId="125A18CE"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First Workshop</w:t>
            </w:r>
          </w:p>
        </w:tc>
        <w:tc>
          <w:tcPr>
            <w:tcW w:w="511" w:type="dxa"/>
            <w:shd w:val="clear" w:color="auto" w:fill="auto"/>
          </w:tcPr>
          <w:p w14:paraId="2576448B"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EEECE1" w:themeFill="background2"/>
          </w:tcPr>
          <w:p w14:paraId="45305AB1"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6B141C1A" w14:textId="77777777" w:rsidR="00183F19" w:rsidRPr="00AA477D" w:rsidRDefault="00183F19" w:rsidP="00464240">
            <w:pPr>
              <w:pStyle w:val="NoSpacing"/>
              <w:rPr>
                <w:rFonts w:cstheme="minorHAnsi"/>
                <w:color w:val="9BBB59" w:themeColor="accent3"/>
                <w:sz w:val="20"/>
                <w:szCs w:val="20"/>
              </w:rPr>
            </w:pPr>
          </w:p>
        </w:tc>
        <w:tc>
          <w:tcPr>
            <w:tcW w:w="511" w:type="dxa"/>
          </w:tcPr>
          <w:p w14:paraId="7D870F8C" w14:textId="77777777" w:rsidR="00183F19" w:rsidRPr="00AA477D" w:rsidRDefault="00183F19" w:rsidP="00464240">
            <w:pPr>
              <w:pStyle w:val="NoSpacing"/>
              <w:rPr>
                <w:rFonts w:cstheme="minorHAnsi"/>
                <w:color w:val="9BBB59" w:themeColor="accent3"/>
                <w:sz w:val="20"/>
                <w:szCs w:val="20"/>
              </w:rPr>
            </w:pPr>
          </w:p>
        </w:tc>
        <w:tc>
          <w:tcPr>
            <w:tcW w:w="511" w:type="dxa"/>
          </w:tcPr>
          <w:p w14:paraId="416C62AC" w14:textId="77777777" w:rsidR="00183F19" w:rsidRPr="00AA477D" w:rsidRDefault="00183F19" w:rsidP="00464240">
            <w:pPr>
              <w:pStyle w:val="NoSpacing"/>
              <w:rPr>
                <w:rFonts w:cstheme="minorHAnsi"/>
                <w:color w:val="9BBB59" w:themeColor="accent3"/>
                <w:sz w:val="20"/>
                <w:szCs w:val="20"/>
              </w:rPr>
            </w:pPr>
          </w:p>
        </w:tc>
      </w:tr>
      <w:tr w:rsidR="00183F19" w:rsidRPr="00AA477D" w14:paraId="1C1E9056" w14:textId="77777777" w:rsidTr="00464240">
        <w:trPr>
          <w:trHeight w:val="226"/>
        </w:trPr>
        <w:tc>
          <w:tcPr>
            <w:tcW w:w="425" w:type="dxa"/>
          </w:tcPr>
          <w:p w14:paraId="355CC7ED"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5</w:t>
            </w:r>
          </w:p>
        </w:tc>
        <w:tc>
          <w:tcPr>
            <w:tcW w:w="6047" w:type="dxa"/>
          </w:tcPr>
          <w:p w14:paraId="436EAD22"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Consultation with external stakeholders and on line surveys</w:t>
            </w:r>
          </w:p>
        </w:tc>
        <w:tc>
          <w:tcPr>
            <w:tcW w:w="511" w:type="dxa"/>
            <w:shd w:val="clear" w:color="auto" w:fill="auto"/>
          </w:tcPr>
          <w:p w14:paraId="07F4C99F"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EEECE1" w:themeFill="background2"/>
          </w:tcPr>
          <w:p w14:paraId="54E78B30"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51D393A4" w14:textId="77777777" w:rsidR="00183F19" w:rsidRPr="00AA477D" w:rsidRDefault="00183F19" w:rsidP="00464240">
            <w:pPr>
              <w:pStyle w:val="NoSpacing"/>
              <w:rPr>
                <w:rFonts w:cstheme="minorHAnsi"/>
                <w:color w:val="9BBB59" w:themeColor="accent3"/>
                <w:sz w:val="20"/>
                <w:szCs w:val="20"/>
              </w:rPr>
            </w:pPr>
          </w:p>
        </w:tc>
        <w:tc>
          <w:tcPr>
            <w:tcW w:w="511" w:type="dxa"/>
          </w:tcPr>
          <w:p w14:paraId="3CD3E74D" w14:textId="77777777" w:rsidR="00183F19" w:rsidRPr="00AA477D" w:rsidRDefault="00183F19" w:rsidP="00464240">
            <w:pPr>
              <w:pStyle w:val="NoSpacing"/>
              <w:rPr>
                <w:rFonts w:cstheme="minorHAnsi"/>
                <w:color w:val="9BBB59" w:themeColor="accent3"/>
                <w:sz w:val="20"/>
                <w:szCs w:val="20"/>
              </w:rPr>
            </w:pPr>
          </w:p>
        </w:tc>
        <w:tc>
          <w:tcPr>
            <w:tcW w:w="511" w:type="dxa"/>
          </w:tcPr>
          <w:p w14:paraId="285D3DF4" w14:textId="77777777" w:rsidR="00183F19" w:rsidRPr="00AA477D" w:rsidRDefault="00183F19" w:rsidP="00464240">
            <w:pPr>
              <w:pStyle w:val="NoSpacing"/>
              <w:rPr>
                <w:rFonts w:cstheme="minorHAnsi"/>
                <w:color w:val="9BBB59" w:themeColor="accent3"/>
                <w:sz w:val="20"/>
                <w:szCs w:val="20"/>
              </w:rPr>
            </w:pPr>
          </w:p>
        </w:tc>
      </w:tr>
      <w:tr w:rsidR="00183F19" w:rsidRPr="00AA477D" w14:paraId="16F8253A" w14:textId="77777777" w:rsidTr="00464240">
        <w:trPr>
          <w:trHeight w:val="226"/>
        </w:trPr>
        <w:tc>
          <w:tcPr>
            <w:tcW w:w="425" w:type="dxa"/>
          </w:tcPr>
          <w:p w14:paraId="5B93ECC9"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6</w:t>
            </w:r>
          </w:p>
        </w:tc>
        <w:tc>
          <w:tcPr>
            <w:tcW w:w="6047" w:type="dxa"/>
          </w:tcPr>
          <w:p w14:paraId="54EFC80A"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 xml:space="preserve">Implementation Guidelines draft developed </w:t>
            </w:r>
          </w:p>
        </w:tc>
        <w:tc>
          <w:tcPr>
            <w:tcW w:w="511" w:type="dxa"/>
            <w:shd w:val="clear" w:color="auto" w:fill="auto"/>
          </w:tcPr>
          <w:p w14:paraId="0DDA0C7D"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EEECE1" w:themeFill="background2"/>
          </w:tcPr>
          <w:p w14:paraId="011DDD9F"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EEECE1" w:themeFill="background2"/>
          </w:tcPr>
          <w:p w14:paraId="71CBD7CD" w14:textId="77777777" w:rsidR="00183F19" w:rsidRPr="00AA477D" w:rsidRDefault="00183F19" w:rsidP="00464240">
            <w:pPr>
              <w:pStyle w:val="NoSpacing"/>
              <w:rPr>
                <w:rFonts w:cstheme="minorHAnsi"/>
                <w:color w:val="9BBB59" w:themeColor="accent3"/>
                <w:sz w:val="20"/>
                <w:szCs w:val="20"/>
              </w:rPr>
            </w:pPr>
          </w:p>
        </w:tc>
        <w:tc>
          <w:tcPr>
            <w:tcW w:w="511" w:type="dxa"/>
          </w:tcPr>
          <w:p w14:paraId="3422D8C6" w14:textId="77777777" w:rsidR="00183F19" w:rsidRPr="00AA477D" w:rsidRDefault="00183F19" w:rsidP="00464240">
            <w:pPr>
              <w:pStyle w:val="NoSpacing"/>
              <w:rPr>
                <w:rFonts w:cstheme="minorHAnsi"/>
                <w:color w:val="9BBB59" w:themeColor="accent3"/>
                <w:sz w:val="20"/>
                <w:szCs w:val="20"/>
              </w:rPr>
            </w:pPr>
          </w:p>
        </w:tc>
        <w:tc>
          <w:tcPr>
            <w:tcW w:w="511" w:type="dxa"/>
          </w:tcPr>
          <w:p w14:paraId="37E2E857" w14:textId="77777777" w:rsidR="00183F19" w:rsidRPr="00AA477D" w:rsidRDefault="00183F19" w:rsidP="00464240">
            <w:pPr>
              <w:pStyle w:val="NoSpacing"/>
              <w:rPr>
                <w:rFonts w:cstheme="minorHAnsi"/>
                <w:color w:val="9BBB59" w:themeColor="accent3"/>
                <w:sz w:val="20"/>
                <w:szCs w:val="20"/>
              </w:rPr>
            </w:pPr>
          </w:p>
        </w:tc>
      </w:tr>
      <w:tr w:rsidR="00183F19" w:rsidRPr="00AA477D" w14:paraId="4DEA9D6B" w14:textId="77777777" w:rsidTr="00464240">
        <w:trPr>
          <w:trHeight w:val="235"/>
        </w:trPr>
        <w:tc>
          <w:tcPr>
            <w:tcW w:w="425" w:type="dxa"/>
          </w:tcPr>
          <w:p w14:paraId="48B8F0D2"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7</w:t>
            </w:r>
          </w:p>
        </w:tc>
        <w:tc>
          <w:tcPr>
            <w:tcW w:w="6047" w:type="dxa"/>
          </w:tcPr>
          <w:p w14:paraId="79FB7E74"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 xml:space="preserve">Second Workshop: Validation  </w:t>
            </w:r>
          </w:p>
        </w:tc>
        <w:tc>
          <w:tcPr>
            <w:tcW w:w="511" w:type="dxa"/>
            <w:shd w:val="clear" w:color="auto" w:fill="auto"/>
          </w:tcPr>
          <w:p w14:paraId="402F23FF"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6B84D137"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EEECE1" w:themeFill="background2"/>
          </w:tcPr>
          <w:p w14:paraId="615B142E" w14:textId="77777777" w:rsidR="00183F19" w:rsidRPr="00AA477D" w:rsidRDefault="00183F19" w:rsidP="00464240">
            <w:pPr>
              <w:pStyle w:val="NoSpacing"/>
              <w:rPr>
                <w:rFonts w:cstheme="minorHAnsi"/>
                <w:color w:val="9BBB59" w:themeColor="accent3"/>
                <w:sz w:val="20"/>
                <w:szCs w:val="20"/>
              </w:rPr>
            </w:pPr>
          </w:p>
        </w:tc>
        <w:tc>
          <w:tcPr>
            <w:tcW w:w="511" w:type="dxa"/>
          </w:tcPr>
          <w:p w14:paraId="7E220372" w14:textId="77777777" w:rsidR="00183F19" w:rsidRPr="00AA477D" w:rsidRDefault="00183F19" w:rsidP="00464240">
            <w:pPr>
              <w:pStyle w:val="NoSpacing"/>
              <w:rPr>
                <w:rFonts w:cstheme="minorHAnsi"/>
                <w:color w:val="9BBB59" w:themeColor="accent3"/>
                <w:sz w:val="20"/>
                <w:szCs w:val="20"/>
              </w:rPr>
            </w:pPr>
          </w:p>
        </w:tc>
        <w:tc>
          <w:tcPr>
            <w:tcW w:w="511" w:type="dxa"/>
          </w:tcPr>
          <w:p w14:paraId="79EB2B57" w14:textId="77777777" w:rsidR="00183F19" w:rsidRPr="00AA477D" w:rsidRDefault="00183F19" w:rsidP="00464240">
            <w:pPr>
              <w:pStyle w:val="NoSpacing"/>
              <w:rPr>
                <w:rFonts w:cstheme="minorHAnsi"/>
                <w:color w:val="9BBB59" w:themeColor="accent3"/>
                <w:sz w:val="20"/>
                <w:szCs w:val="20"/>
              </w:rPr>
            </w:pPr>
          </w:p>
        </w:tc>
      </w:tr>
      <w:tr w:rsidR="00183F19" w:rsidRPr="00AA477D" w14:paraId="01EBD244" w14:textId="77777777" w:rsidTr="00464240">
        <w:trPr>
          <w:trHeight w:val="226"/>
        </w:trPr>
        <w:tc>
          <w:tcPr>
            <w:tcW w:w="425" w:type="dxa"/>
          </w:tcPr>
          <w:p w14:paraId="3CA5F29B"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8</w:t>
            </w:r>
          </w:p>
        </w:tc>
        <w:tc>
          <w:tcPr>
            <w:tcW w:w="6047" w:type="dxa"/>
          </w:tcPr>
          <w:p w14:paraId="4558EAE4"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 xml:space="preserve">Submission of first draft Implementation Guidelines </w:t>
            </w:r>
          </w:p>
        </w:tc>
        <w:tc>
          <w:tcPr>
            <w:tcW w:w="511" w:type="dxa"/>
            <w:shd w:val="clear" w:color="auto" w:fill="auto"/>
          </w:tcPr>
          <w:p w14:paraId="7F380AB6"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23FFD8D0"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EEECE1" w:themeFill="background2"/>
          </w:tcPr>
          <w:p w14:paraId="292D5E3C" w14:textId="77777777" w:rsidR="00183F19" w:rsidRPr="00AA477D" w:rsidRDefault="00183F19" w:rsidP="00464240">
            <w:pPr>
              <w:pStyle w:val="NoSpacing"/>
              <w:rPr>
                <w:rFonts w:cstheme="minorHAnsi"/>
                <w:color w:val="9BBB59" w:themeColor="accent3"/>
                <w:sz w:val="20"/>
                <w:szCs w:val="20"/>
              </w:rPr>
            </w:pPr>
          </w:p>
        </w:tc>
        <w:tc>
          <w:tcPr>
            <w:tcW w:w="511" w:type="dxa"/>
          </w:tcPr>
          <w:p w14:paraId="4C84DFE4" w14:textId="77777777" w:rsidR="00183F19" w:rsidRPr="00AA477D" w:rsidRDefault="00183F19" w:rsidP="00464240">
            <w:pPr>
              <w:pStyle w:val="NoSpacing"/>
              <w:rPr>
                <w:rFonts w:cstheme="minorHAnsi"/>
                <w:color w:val="9BBB59" w:themeColor="accent3"/>
                <w:sz w:val="20"/>
                <w:szCs w:val="20"/>
              </w:rPr>
            </w:pPr>
          </w:p>
        </w:tc>
        <w:tc>
          <w:tcPr>
            <w:tcW w:w="511" w:type="dxa"/>
          </w:tcPr>
          <w:p w14:paraId="208DFB3B" w14:textId="77777777" w:rsidR="00183F19" w:rsidRPr="00AA477D" w:rsidRDefault="00183F19" w:rsidP="00464240">
            <w:pPr>
              <w:pStyle w:val="NoSpacing"/>
              <w:rPr>
                <w:rFonts w:cstheme="minorHAnsi"/>
                <w:color w:val="9BBB59" w:themeColor="accent3"/>
                <w:sz w:val="20"/>
                <w:szCs w:val="20"/>
              </w:rPr>
            </w:pPr>
          </w:p>
        </w:tc>
      </w:tr>
      <w:tr w:rsidR="00183F19" w:rsidRPr="00AA477D" w14:paraId="2377CC7D" w14:textId="77777777" w:rsidTr="00464240">
        <w:trPr>
          <w:trHeight w:val="226"/>
        </w:trPr>
        <w:tc>
          <w:tcPr>
            <w:tcW w:w="425" w:type="dxa"/>
          </w:tcPr>
          <w:p w14:paraId="4EEE2749"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9</w:t>
            </w:r>
          </w:p>
        </w:tc>
        <w:tc>
          <w:tcPr>
            <w:tcW w:w="6047" w:type="dxa"/>
          </w:tcPr>
          <w:p w14:paraId="2165F849"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Submission of final Implementation Guidelines</w:t>
            </w:r>
          </w:p>
        </w:tc>
        <w:tc>
          <w:tcPr>
            <w:tcW w:w="511" w:type="dxa"/>
            <w:shd w:val="clear" w:color="auto" w:fill="auto"/>
          </w:tcPr>
          <w:p w14:paraId="5FF2CE0D"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00D7B825"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6EC01ABC"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EEECE1" w:themeFill="background2"/>
          </w:tcPr>
          <w:p w14:paraId="5ACEA072"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43EE2E6C" w14:textId="77777777" w:rsidR="00183F19" w:rsidRPr="00AA477D" w:rsidRDefault="00183F19" w:rsidP="00464240">
            <w:pPr>
              <w:pStyle w:val="NoSpacing"/>
              <w:rPr>
                <w:rFonts w:cstheme="minorHAnsi"/>
                <w:color w:val="9BBB59" w:themeColor="accent3"/>
                <w:sz w:val="20"/>
                <w:szCs w:val="20"/>
              </w:rPr>
            </w:pPr>
          </w:p>
        </w:tc>
      </w:tr>
      <w:tr w:rsidR="00183F19" w:rsidRPr="00AA477D" w14:paraId="0921A530" w14:textId="77777777" w:rsidTr="00464240">
        <w:trPr>
          <w:trHeight w:val="235"/>
        </w:trPr>
        <w:tc>
          <w:tcPr>
            <w:tcW w:w="425" w:type="dxa"/>
          </w:tcPr>
          <w:p w14:paraId="45EC966D" w14:textId="77777777" w:rsidR="00183F19" w:rsidRPr="00AA477D" w:rsidRDefault="00183F19" w:rsidP="00464240">
            <w:pPr>
              <w:pStyle w:val="NoSpacing"/>
              <w:jc w:val="center"/>
              <w:rPr>
                <w:rFonts w:cstheme="minorHAnsi"/>
                <w:color w:val="9BBB59" w:themeColor="accent3"/>
                <w:sz w:val="20"/>
                <w:szCs w:val="20"/>
              </w:rPr>
            </w:pPr>
            <w:r w:rsidRPr="00AA477D">
              <w:rPr>
                <w:rFonts w:cstheme="minorHAnsi"/>
                <w:sz w:val="20"/>
                <w:szCs w:val="20"/>
              </w:rPr>
              <w:t>10</w:t>
            </w:r>
          </w:p>
        </w:tc>
        <w:tc>
          <w:tcPr>
            <w:tcW w:w="6047" w:type="dxa"/>
          </w:tcPr>
          <w:p w14:paraId="2053A439" w14:textId="77777777" w:rsidR="00183F19" w:rsidRPr="00AA477D" w:rsidRDefault="00183F19" w:rsidP="00464240">
            <w:pPr>
              <w:pStyle w:val="NoSpacing"/>
              <w:rPr>
                <w:rFonts w:cstheme="minorHAnsi"/>
                <w:color w:val="9BBB59" w:themeColor="accent3"/>
                <w:sz w:val="20"/>
                <w:szCs w:val="20"/>
              </w:rPr>
            </w:pPr>
            <w:r w:rsidRPr="00AA477D">
              <w:rPr>
                <w:rFonts w:cstheme="minorHAnsi"/>
                <w:sz w:val="20"/>
                <w:szCs w:val="20"/>
              </w:rPr>
              <w:t xml:space="preserve">Submission of final consultancy report </w:t>
            </w:r>
          </w:p>
        </w:tc>
        <w:tc>
          <w:tcPr>
            <w:tcW w:w="511" w:type="dxa"/>
            <w:shd w:val="clear" w:color="auto" w:fill="auto"/>
          </w:tcPr>
          <w:p w14:paraId="43CFE344"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194E8943"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74F495D8"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auto"/>
          </w:tcPr>
          <w:p w14:paraId="66257CBF" w14:textId="77777777" w:rsidR="00183F19" w:rsidRPr="00AA477D" w:rsidRDefault="00183F19" w:rsidP="00464240">
            <w:pPr>
              <w:pStyle w:val="NoSpacing"/>
              <w:rPr>
                <w:rFonts w:cstheme="minorHAnsi"/>
                <w:color w:val="9BBB59" w:themeColor="accent3"/>
                <w:sz w:val="20"/>
                <w:szCs w:val="20"/>
              </w:rPr>
            </w:pPr>
          </w:p>
        </w:tc>
        <w:tc>
          <w:tcPr>
            <w:tcW w:w="511" w:type="dxa"/>
            <w:shd w:val="clear" w:color="auto" w:fill="EEECE1" w:themeFill="background2"/>
          </w:tcPr>
          <w:p w14:paraId="472FA033" w14:textId="77777777" w:rsidR="00183F19" w:rsidRPr="00AA477D" w:rsidRDefault="00183F19" w:rsidP="00464240">
            <w:pPr>
              <w:pStyle w:val="NoSpacing"/>
              <w:rPr>
                <w:rFonts w:cstheme="minorHAnsi"/>
                <w:color w:val="9BBB59" w:themeColor="accent3"/>
                <w:sz w:val="20"/>
                <w:szCs w:val="20"/>
              </w:rPr>
            </w:pPr>
          </w:p>
        </w:tc>
      </w:tr>
    </w:tbl>
    <w:p w14:paraId="7BF7A36B" w14:textId="7625C350" w:rsidR="002E45BE" w:rsidRPr="00AA477D" w:rsidRDefault="002E45BE" w:rsidP="00183F19">
      <w:pPr>
        <w:rPr>
          <w:rFonts w:cstheme="minorHAnsi"/>
          <w:b/>
          <w:bCs/>
          <w:sz w:val="20"/>
          <w:szCs w:val="20"/>
        </w:rPr>
      </w:pPr>
    </w:p>
    <w:p w14:paraId="044EEEBC" w14:textId="4F4A99B5" w:rsidR="00183F19" w:rsidRPr="00AA477D" w:rsidRDefault="00183F19" w:rsidP="00183F19">
      <w:pPr>
        <w:rPr>
          <w:rFonts w:cstheme="minorHAnsi"/>
          <w:b/>
          <w:sz w:val="20"/>
          <w:szCs w:val="20"/>
        </w:rPr>
      </w:pPr>
      <w:r w:rsidRPr="00AA477D">
        <w:rPr>
          <w:rFonts w:cstheme="minorHAnsi"/>
          <w:b/>
          <w:bCs/>
          <w:sz w:val="20"/>
          <w:szCs w:val="20"/>
        </w:rPr>
        <w:t>5. Qualifications of the consulting company</w:t>
      </w:r>
    </w:p>
    <w:p w14:paraId="632945E3" w14:textId="77777777" w:rsidR="00183F19" w:rsidRPr="00AA477D" w:rsidRDefault="00183F19" w:rsidP="00183F19">
      <w:pPr>
        <w:jc w:val="both"/>
        <w:rPr>
          <w:rFonts w:cstheme="minorHAnsi"/>
          <w:sz w:val="20"/>
          <w:szCs w:val="20"/>
        </w:rPr>
      </w:pPr>
      <w:r w:rsidRPr="00AA477D">
        <w:rPr>
          <w:rFonts w:cstheme="minorHAnsi"/>
          <w:sz w:val="20"/>
          <w:szCs w:val="20"/>
        </w:rPr>
        <w:t>Applicants (private or companies) should have been active in designing and implementing consultancies and assignments in relevant sectors within the last three years. In the application they should submit a resume of the most relevant experiences in the Education PSS-SEL sector and the consultancies implemented. The application should also include a presentation and motivation letter (half page), a suggested methodology (one page), an implementation plan (1 page) and a detailed budget (1 annex) indicating the working days required. An example of visual document or other documents developed under previous assignments and two references might be requested in a later stage.</w:t>
      </w:r>
    </w:p>
    <w:p w14:paraId="416AFA05" w14:textId="77777777" w:rsidR="00183F19" w:rsidRPr="00AA477D" w:rsidRDefault="00183F19" w:rsidP="00183F19">
      <w:pPr>
        <w:jc w:val="both"/>
        <w:rPr>
          <w:rFonts w:cstheme="minorHAnsi"/>
          <w:sz w:val="20"/>
          <w:szCs w:val="20"/>
        </w:rPr>
      </w:pPr>
      <w:r w:rsidRPr="00AA477D">
        <w:rPr>
          <w:rFonts w:cstheme="minorHAnsi"/>
          <w:sz w:val="20"/>
          <w:szCs w:val="20"/>
        </w:rPr>
        <w:t>Consultancy companies have to be officially registered in their country of origin or in a Middle East country and they have to demonstrate that they have been active in the sector during the last three years.</w:t>
      </w:r>
    </w:p>
    <w:p w14:paraId="40066284" w14:textId="77777777" w:rsidR="00183F19" w:rsidRPr="00AA477D" w:rsidRDefault="00183F19" w:rsidP="00183F19">
      <w:pPr>
        <w:jc w:val="both"/>
        <w:rPr>
          <w:rFonts w:cstheme="minorHAnsi"/>
          <w:sz w:val="20"/>
          <w:szCs w:val="20"/>
        </w:rPr>
      </w:pPr>
      <w:r w:rsidRPr="00AA477D">
        <w:rPr>
          <w:rFonts w:cstheme="minorHAnsi"/>
          <w:sz w:val="20"/>
          <w:szCs w:val="20"/>
        </w:rPr>
        <w:t>All consultants, ltd or sole-trade, must be registered in accordance with the legal requirements at their base. The consultant must be able to submit documentation that proves that they are meeting all legal and tax obligation for the consultancy.</w:t>
      </w:r>
    </w:p>
    <w:p w14:paraId="4FFE2D7B" w14:textId="77777777" w:rsidR="00183F19" w:rsidRPr="00AA477D" w:rsidRDefault="00183F19" w:rsidP="00183F19">
      <w:pPr>
        <w:rPr>
          <w:rFonts w:cstheme="minorHAnsi"/>
          <w:b/>
          <w:bCs/>
          <w:iCs/>
          <w:sz w:val="20"/>
          <w:szCs w:val="20"/>
        </w:rPr>
      </w:pPr>
      <w:r w:rsidRPr="00AA477D">
        <w:rPr>
          <w:rFonts w:cstheme="minorHAnsi"/>
          <w:b/>
          <w:bCs/>
          <w:iCs/>
          <w:sz w:val="20"/>
          <w:szCs w:val="20"/>
        </w:rPr>
        <w:t>Experience and qualifications</w:t>
      </w:r>
    </w:p>
    <w:p w14:paraId="6523A51E" w14:textId="77777777" w:rsidR="00183F19" w:rsidRPr="00AA477D" w:rsidRDefault="00183F19" w:rsidP="00183F19">
      <w:pPr>
        <w:rPr>
          <w:rFonts w:cstheme="minorHAnsi"/>
          <w:sz w:val="20"/>
          <w:szCs w:val="20"/>
        </w:rPr>
      </w:pPr>
      <w:r w:rsidRPr="00AA477D">
        <w:rPr>
          <w:rFonts w:cstheme="minorHAnsi"/>
          <w:sz w:val="20"/>
          <w:szCs w:val="20"/>
        </w:rPr>
        <w:t>Provide a person specification detailing minimum qualifications, length of experience, level of experience, key knowledge, skills and attitudes, and any other required competences.</w:t>
      </w:r>
    </w:p>
    <w:p w14:paraId="23825D25" w14:textId="6F02071E" w:rsidR="00183F19" w:rsidRPr="00AA477D" w:rsidRDefault="00183F19" w:rsidP="00183F19">
      <w:pPr>
        <w:jc w:val="both"/>
        <w:rPr>
          <w:rFonts w:cstheme="minorHAnsi"/>
          <w:sz w:val="20"/>
          <w:szCs w:val="20"/>
        </w:rPr>
      </w:pPr>
      <w:r w:rsidRPr="00AA477D">
        <w:rPr>
          <w:rFonts w:cstheme="minorHAnsi"/>
          <w:sz w:val="20"/>
          <w:szCs w:val="20"/>
        </w:rPr>
        <w:t xml:space="preserve">Since the Better Learning </w:t>
      </w:r>
      <w:proofErr w:type="spellStart"/>
      <w:r w:rsidRPr="00AA477D">
        <w:rPr>
          <w:rFonts w:cstheme="minorHAnsi"/>
          <w:sz w:val="20"/>
          <w:szCs w:val="20"/>
        </w:rPr>
        <w:t>Programme</w:t>
      </w:r>
      <w:proofErr w:type="spellEnd"/>
      <w:r w:rsidRPr="00AA477D">
        <w:rPr>
          <w:rFonts w:cstheme="minorHAnsi"/>
          <w:sz w:val="20"/>
          <w:szCs w:val="20"/>
        </w:rPr>
        <w:t xml:space="preserve"> is a unique </w:t>
      </w:r>
      <w:proofErr w:type="spellStart"/>
      <w:r w:rsidRPr="00AA477D">
        <w:rPr>
          <w:rFonts w:cstheme="minorHAnsi"/>
          <w:sz w:val="20"/>
          <w:szCs w:val="20"/>
        </w:rPr>
        <w:t>programme</w:t>
      </w:r>
      <w:proofErr w:type="spellEnd"/>
      <w:r w:rsidRPr="00AA477D">
        <w:rPr>
          <w:rFonts w:cstheme="minorHAnsi"/>
          <w:sz w:val="20"/>
          <w:szCs w:val="20"/>
        </w:rPr>
        <w:t xml:space="preserve"> and only implemented by NRC it is preferable that the consultant (or a member of the consultancy company) is familiar with the NRC BLP programming both directly or indirectly. Alternately, it is required in depth knowledge of PSS-SEL principles, experience in </w:t>
      </w:r>
      <w:proofErr w:type="spellStart"/>
      <w:r w:rsidRPr="00AA477D">
        <w:rPr>
          <w:rFonts w:cstheme="minorHAnsi"/>
          <w:sz w:val="20"/>
          <w:szCs w:val="20"/>
        </w:rPr>
        <w:t>programme</w:t>
      </w:r>
      <w:proofErr w:type="spellEnd"/>
      <w:r w:rsidRPr="00AA477D">
        <w:rPr>
          <w:rFonts w:cstheme="minorHAnsi"/>
          <w:sz w:val="20"/>
          <w:szCs w:val="20"/>
        </w:rPr>
        <w:t xml:space="preserve"> design with focus in curriculum design and </w:t>
      </w:r>
      <w:r w:rsidR="00BD0BC6" w:rsidRPr="00AA477D">
        <w:rPr>
          <w:rFonts w:cstheme="minorHAnsi"/>
          <w:sz w:val="20"/>
          <w:szCs w:val="20"/>
        </w:rPr>
        <w:t>institutionalization</w:t>
      </w:r>
      <w:r w:rsidRPr="00AA477D">
        <w:rPr>
          <w:rFonts w:cstheme="minorHAnsi"/>
          <w:sz w:val="20"/>
          <w:szCs w:val="20"/>
        </w:rPr>
        <w:t xml:space="preserve"> processes (working in close cooperation with Ministries of Education), experience in Education or PSS-SEL advisory roles in ministries of education or/and clusters. </w:t>
      </w:r>
    </w:p>
    <w:p w14:paraId="5B3C27D6" w14:textId="75C2195A" w:rsidR="00183F19" w:rsidRPr="00AA477D" w:rsidRDefault="00183F19" w:rsidP="00183F19">
      <w:pPr>
        <w:jc w:val="both"/>
        <w:rPr>
          <w:rFonts w:cstheme="minorHAnsi"/>
          <w:sz w:val="20"/>
          <w:szCs w:val="20"/>
        </w:rPr>
      </w:pPr>
      <w:r w:rsidRPr="00AA477D">
        <w:rPr>
          <w:rFonts w:cstheme="minorHAnsi"/>
          <w:sz w:val="20"/>
          <w:szCs w:val="20"/>
        </w:rPr>
        <w:t xml:space="preserve">The consultant will have to prove experience in workshops design using innovative and participatory models, technical English skills and capacity to design simplified and graphic layouts to make the guidance being easily accessible and user friendly. </w:t>
      </w:r>
    </w:p>
    <w:p w14:paraId="32537EB8" w14:textId="77777777" w:rsidR="002E45BE" w:rsidRPr="00AA477D" w:rsidRDefault="002E45BE" w:rsidP="00183F19">
      <w:pPr>
        <w:jc w:val="both"/>
        <w:rPr>
          <w:rFonts w:cstheme="minorHAnsi"/>
          <w:sz w:val="20"/>
          <w:szCs w:val="20"/>
        </w:rPr>
      </w:pPr>
    </w:p>
    <w:p w14:paraId="485C2008" w14:textId="6EE5823C" w:rsidR="002E45BE" w:rsidRPr="00AA477D" w:rsidRDefault="002E45BE" w:rsidP="002E45BE">
      <w:pPr>
        <w:rPr>
          <w:rFonts w:cstheme="minorHAnsi"/>
          <w:b/>
          <w:bCs/>
          <w:sz w:val="20"/>
          <w:szCs w:val="20"/>
        </w:rPr>
      </w:pPr>
      <w:r w:rsidRPr="00AA477D">
        <w:rPr>
          <w:rFonts w:cstheme="minorHAnsi"/>
          <w:b/>
          <w:bCs/>
          <w:sz w:val="20"/>
          <w:szCs w:val="20"/>
        </w:rPr>
        <w:t>STRUCTURE OF TECHNICAL PROPOSAL</w:t>
      </w:r>
    </w:p>
    <w:p w14:paraId="11459C01" w14:textId="77777777" w:rsidR="002E45BE" w:rsidRPr="00AA477D" w:rsidRDefault="002E45BE" w:rsidP="002E45BE">
      <w:pPr>
        <w:spacing w:after="0" w:line="240" w:lineRule="auto"/>
        <w:jc w:val="both"/>
        <w:rPr>
          <w:rFonts w:eastAsia="Calibri" w:cstheme="minorHAnsi"/>
          <w:sz w:val="20"/>
          <w:szCs w:val="20"/>
          <w:lang w:val="en-GB" w:eastAsia="en-GB"/>
        </w:rPr>
      </w:pPr>
      <w:r w:rsidRPr="00AA477D">
        <w:rPr>
          <w:rFonts w:eastAsia="Calibri" w:cstheme="minorHAnsi"/>
          <w:sz w:val="20"/>
          <w:szCs w:val="20"/>
          <w:lang w:val="en-GB" w:eastAsia="en-GB"/>
        </w:rPr>
        <w:t>Proposals must include complete and accurate information. The proposal must include, but is not limited to, the following items:</w:t>
      </w:r>
    </w:p>
    <w:p w14:paraId="367E79ED" w14:textId="77777777" w:rsidR="002E45BE" w:rsidRPr="00AA477D" w:rsidRDefault="002E45BE" w:rsidP="002E45BE">
      <w:pPr>
        <w:spacing w:after="0" w:line="240" w:lineRule="auto"/>
        <w:jc w:val="both"/>
        <w:rPr>
          <w:rFonts w:eastAsia="Calibri" w:cstheme="minorHAnsi"/>
          <w:sz w:val="20"/>
          <w:szCs w:val="20"/>
          <w:lang w:val="en-GB" w:eastAsia="en-GB"/>
        </w:rPr>
      </w:pPr>
    </w:p>
    <w:p w14:paraId="2D184F57"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sz w:val="20"/>
          <w:szCs w:val="20"/>
          <w:lang w:val="en-GB" w:eastAsia="en-GB"/>
        </w:rPr>
        <w:t>Profile/CV highlighting the consultant’s qualifications and relevant experience.</w:t>
      </w:r>
    </w:p>
    <w:p w14:paraId="18A89912"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sz w:val="20"/>
          <w:szCs w:val="20"/>
          <w:lang w:val="en-GB" w:eastAsia="en-GB"/>
        </w:rPr>
        <w:t>A letter of interest describing how the consultant will address each item outlined in the objectives of the assignment</w:t>
      </w:r>
    </w:p>
    <w:p w14:paraId="17050090"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sz w:val="20"/>
          <w:szCs w:val="20"/>
          <w:lang w:val="en-GB" w:eastAsia="en-GB"/>
        </w:rPr>
        <w:t xml:space="preserve">At least 2 reports or work products from other research projects undertaken by the consultant within the past 5 years, with particular emphasis on projects of similar scope and effort. </w:t>
      </w:r>
    </w:p>
    <w:p w14:paraId="35F3508E"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sz w:val="20"/>
          <w:szCs w:val="20"/>
          <w:lang w:val="en-GB" w:eastAsia="en-GB"/>
        </w:rPr>
        <w:t xml:space="preserve">Price quote for the daily rate*  </w:t>
      </w:r>
    </w:p>
    <w:p w14:paraId="526632EC"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sz w:val="20"/>
          <w:szCs w:val="20"/>
          <w:lang w:val="en-GB" w:eastAsia="en-GB"/>
        </w:rPr>
        <w:t>The required currency for all pricing information is USD.</w:t>
      </w:r>
    </w:p>
    <w:p w14:paraId="35BC71AF"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sz w:val="20"/>
          <w:szCs w:val="20"/>
          <w:lang w:val="en-GB" w:eastAsia="en-GB"/>
        </w:rPr>
        <w:t>All bids are to be submitted in English language only.</w:t>
      </w:r>
    </w:p>
    <w:p w14:paraId="19621A46"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sz w:val="20"/>
          <w:szCs w:val="20"/>
          <w:lang w:val="en-GB" w:eastAsia="en-GB"/>
        </w:rPr>
        <w:t xml:space="preserve">All consultants, ltd or sole-trade, </w:t>
      </w:r>
      <w:r w:rsidRPr="00AA477D">
        <w:rPr>
          <w:rFonts w:eastAsia="Calibri" w:cstheme="minorHAnsi"/>
          <w:b/>
          <w:bCs/>
          <w:sz w:val="20"/>
          <w:szCs w:val="20"/>
          <w:u w:val="single"/>
          <w:lang w:val="en-GB" w:eastAsia="en-GB"/>
        </w:rPr>
        <w:t>must be registered in accordance with the legal requirements at their base</w:t>
      </w:r>
      <w:r w:rsidRPr="00AA477D">
        <w:rPr>
          <w:rFonts w:eastAsia="Calibri" w:cstheme="minorHAnsi"/>
          <w:sz w:val="20"/>
          <w:szCs w:val="20"/>
          <w:lang w:val="en-GB" w:eastAsia="en-GB"/>
        </w:rPr>
        <w:t xml:space="preserve">. The consultant must be able to submit documentation that proves that they are meeting all legal and tax obligation for the consultancy. </w:t>
      </w:r>
    </w:p>
    <w:p w14:paraId="63969EC8"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b/>
          <w:sz w:val="20"/>
          <w:szCs w:val="20"/>
          <w:lang w:val="en-GB" w:eastAsia="en-GB"/>
        </w:rPr>
        <w:t>Bids shall include a signed copy of the Suppliers Ethical Standards Declaration”</w:t>
      </w:r>
      <w:r w:rsidRPr="00AA477D">
        <w:rPr>
          <w:rFonts w:eastAsia="Calibri" w:cstheme="minorHAnsi"/>
          <w:sz w:val="20"/>
          <w:szCs w:val="20"/>
          <w:lang w:val="en-GB" w:eastAsia="en-GB"/>
        </w:rPr>
        <w:t xml:space="preserve"> (</w:t>
      </w:r>
      <w:r w:rsidRPr="00AA477D">
        <w:rPr>
          <w:rFonts w:eastAsia="Calibri" w:cstheme="minorHAnsi"/>
          <w:b/>
          <w:sz w:val="20"/>
          <w:szCs w:val="20"/>
          <w:lang w:val="en-GB" w:eastAsia="en-GB"/>
        </w:rPr>
        <w:t>see next page</w:t>
      </w:r>
      <w:r w:rsidRPr="00AA477D">
        <w:rPr>
          <w:rFonts w:eastAsia="Calibri" w:cstheme="minorHAnsi"/>
          <w:sz w:val="20"/>
          <w:szCs w:val="20"/>
          <w:lang w:val="en-GB" w:eastAsia="en-GB"/>
        </w:rPr>
        <w:t xml:space="preserve">). The bid itself with the annex shall be submitted as attachments to a letter of interest by e-mail to </w:t>
      </w:r>
      <w:hyperlink r:id="rId13" w:history="1">
        <w:r w:rsidRPr="00AA477D">
          <w:rPr>
            <w:rStyle w:val="Hyperlink"/>
            <w:rFonts w:eastAsia="Calibri" w:cstheme="minorHAnsi"/>
            <w:sz w:val="20"/>
            <w:szCs w:val="20"/>
            <w:lang w:val="en-GB" w:eastAsia="en-GB"/>
          </w:rPr>
          <w:t>mero.bids@nrc.no</w:t>
        </w:r>
      </w:hyperlink>
    </w:p>
    <w:p w14:paraId="24565711"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sz w:val="20"/>
          <w:szCs w:val="20"/>
          <w:lang w:val="en-GB" w:eastAsia="en-GB"/>
        </w:rPr>
        <w:t xml:space="preserve">Questions about this invitation to bid can be put forward by email to </w:t>
      </w:r>
      <w:hyperlink r:id="rId14" w:history="1">
        <w:r w:rsidRPr="00AA477D">
          <w:rPr>
            <w:rStyle w:val="Hyperlink"/>
            <w:rFonts w:cstheme="minorHAnsi"/>
            <w:sz w:val="20"/>
            <w:szCs w:val="20"/>
            <w:lang w:val="en-GB" w:eastAsia="en-GB"/>
          </w:rPr>
          <w:t>mero.logistics@nrc.no</w:t>
        </w:r>
      </w:hyperlink>
      <w:r w:rsidRPr="00AA477D">
        <w:rPr>
          <w:rStyle w:val="Hyperlink"/>
          <w:rFonts w:cstheme="minorHAnsi"/>
          <w:sz w:val="20"/>
          <w:szCs w:val="20"/>
          <w:lang w:val="en-GB" w:eastAsia="en-GB"/>
        </w:rPr>
        <w:t xml:space="preserve"> </w:t>
      </w:r>
      <w:r w:rsidRPr="00AA477D">
        <w:rPr>
          <w:rFonts w:eastAsia="Calibri" w:cstheme="minorHAnsi"/>
          <w:sz w:val="20"/>
          <w:szCs w:val="20"/>
          <w:lang w:val="en-GB" w:eastAsia="en-GB"/>
        </w:rPr>
        <w:t>and that a Q&amp;A feedback will be shared with all bidders with anonymization.</w:t>
      </w:r>
      <w:r w:rsidRPr="00AA477D">
        <w:rPr>
          <w:rFonts w:cstheme="minorHAnsi"/>
          <w:sz w:val="20"/>
          <w:szCs w:val="20"/>
        </w:rPr>
        <w:t xml:space="preserve"> </w:t>
      </w:r>
      <w:r w:rsidRPr="00AA477D">
        <w:rPr>
          <w:rFonts w:eastAsia="Calibri" w:cstheme="minorHAnsi"/>
          <w:b/>
          <w:sz w:val="20"/>
          <w:szCs w:val="20"/>
          <w:lang w:val="en-GB" w:eastAsia="en-GB"/>
        </w:rPr>
        <w:t>Closing date for questions:</w:t>
      </w:r>
      <w:r w:rsidRPr="00AA477D">
        <w:rPr>
          <w:rFonts w:eastAsia="Calibri" w:cstheme="minorHAnsi"/>
          <w:sz w:val="20"/>
          <w:szCs w:val="20"/>
          <w:lang w:val="en-GB" w:eastAsia="en-GB"/>
        </w:rPr>
        <w:t xml:space="preserve"> 2 days before deadline.</w:t>
      </w:r>
    </w:p>
    <w:p w14:paraId="1F56FD0C" w14:textId="3B9D3ED9"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b/>
          <w:sz w:val="20"/>
          <w:szCs w:val="20"/>
          <w:lang w:val="en-GB" w:eastAsia="en-GB"/>
        </w:rPr>
        <w:t>Deadline for bids:</w:t>
      </w:r>
      <w:r w:rsidRPr="00AA477D">
        <w:rPr>
          <w:rFonts w:eastAsia="Calibri" w:cstheme="minorHAnsi"/>
          <w:sz w:val="20"/>
          <w:szCs w:val="20"/>
          <w:lang w:val="en-GB" w:eastAsia="en-GB"/>
        </w:rPr>
        <w:t xml:space="preserve"> All complete bids are to be received by NRC at </w:t>
      </w:r>
      <w:hyperlink r:id="rId15" w:history="1">
        <w:r w:rsidRPr="00AA477D">
          <w:rPr>
            <w:rStyle w:val="Hyperlink"/>
            <w:rFonts w:eastAsia="Calibri" w:cstheme="minorHAnsi"/>
            <w:sz w:val="20"/>
            <w:szCs w:val="20"/>
            <w:lang w:val="en-GB" w:eastAsia="en-GB"/>
          </w:rPr>
          <w:t>mero.bids@nrc.no</w:t>
        </w:r>
      </w:hyperlink>
      <w:r w:rsidRPr="00AA477D">
        <w:rPr>
          <w:rFonts w:eastAsia="Calibri" w:cstheme="minorHAnsi"/>
          <w:sz w:val="20"/>
          <w:szCs w:val="20"/>
          <w:lang w:val="en-GB" w:eastAsia="en-GB"/>
        </w:rPr>
        <w:t xml:space="preserve"> by </w:t>
      </w:r>
      <w:r w:rsidRPr="00AA477D">
        <w:rPr>
          <w:rFonts w:eastAsia="Calibri" w:cstheme="minorHAnsi"/>
          <w:b/>
          <w:sz w:val="20"/>
          <w:szCs w:val="20"/>
          <w:lang w:val="en-GB" w:eastAsia="en-GB"/>
        </w:rPr>
        <w:t>June 4</w:t>
      </w:r>
      <w:r w:rsidRPr="00AA477D">
        <w:rPr>
          <w:rFonts w:eastAsia="Calibri" w:cstheme="minorHAnsi"/>
          <w:b/>
          <w:sz w:val="20"/>
          <w:szCs w:val="20"/>
          <w:vertAlign w:val="superscript"/>
          <w:lang w:val="en-GB" w:eastAsia="en-GB"/>
        </w:rPr>
        <w:t>th</w:t>
      </w:r>
      <w:r w:rsidRPr="00AA477D">
        <w:rPr>
          <w:rFonts w:eastAsia="Calibri" w:cstheme="minorHAnsi"/>
          <w:b/>
          <w:sz w:val="20"/>
          <w:szCs w:val="20"/>
          <w:lang w:val="en-GB" w:eastAsia="en-GB"/>
        </w:rPr>
        <w:t xml:space="preserve"> , 2020, at 17:00 Jordan local time (GMT+2)</w:t>
      </w:r>
    </w:p>
    <w:p w14:paraId="67366EFA" w14:textId="77777777" w:rsidR="002E45BE" w:rsidRPr="00AA477D" w:rsidRDefault="002E45BE" w:rsidP="008736DC">
      <w:pPr>
        <w:numPr>
          <w:ilvl w:val="0"/>
          <w:numId w:val="1"/>
        </w:numPr>
        <w:spacing w:after="0" w:line="240" w:lineRule="auto"/>
        <w:jc w:val="both"/>
        <w:rPr>
          <w:rFonts w:eastAsia="Calibri" w:cstheme="minorHAnsi"/>
          <w:sz w:val="20"/>
          <w:szCs w:val="20"/>
          <w:lang w:val="en-GB" w:eastAsia="en-GB"/>
        </w:rPr>
      </w:pPr>
      <w:r w:rsidRPr="00AA477D">
        <w:rPr>
          <w:rFonts w:eastAsia="Calibri" w:cstheme="minorHAnsi"/>
          <w:b/>
          <w:sz w:val="20"/>
          <w:szCs w:val="20"/>
          <w:lang w:val="en-GB" w:eastAsia="en-GB"/>
        </w:rPr>
        <w:t>Notification of selection:</w:t>
      </w:r>
      <w:r w:rsidRPr="00AA477D">
        <w:rPr>
          <w:rFonts w:eastAsia="Calibri" w:cstheme="minorHAnsi"/>
          <w:sz w:val="20"/>
          <w:szCs w:val="20"/>
          <w:lang w:val="en-GB" w:eastAsia="en-GB"/>
        </w:rPr>
        <w:t xml:space="preserve"> All bidders will be contacted with formal notification of final selection or information about any delay in the process.</w:t>
      </w:r>
    </w:p>
    <w:p w14:paraId="2E4C60D0" w14:textId="77777777" w:rsidR="002E45BE" w:rsidRPr="00AA477D" w:rsidRDefault="002E45BE" w:rsidP="008736DC">
      <w:pPr>
        <w:numPr>
          <w:ilvl w:val="0"/>
          <w:numId w:val="1"/>
        </w:numPr>
        <w:spacing w:after="0" w:line="240" w:lineRule="auto"/>
        <w:jc w:val="both"/>
        <w:rPr>
          <w:rFonts w:eastAsia="Calibri" w:cstheme="minorHAnsi"/>
          <w:b/>
          <w:sz w:val="20"/>
          <w:szCs w:val="20"/>
          <w:lang w:val="en-GB" w:eastAsia="en-GB"/>
        </w:rPr>
      </w:pPr>
      <w:r w:rsidRPr="00AA477D">
        <w:rPr>
          <w:rFonts w:eastAsia="Calibri" w:cstheme="minorHAnsi"/>
          <w:b/>
          <w:sz w:val="20"/>
          <w:szCs w:val="20"/>
          <w:lang w:val="en-GB" w:eastAsia="en-GB"/>
        </w:rPr>
        <w:t>As per Jordanian Income Tax Law, NRC in Jordan will withhold tax which is 10% for international consultants and 5% for national consultants, from the consultant’s fees and pay it directly to the Jordanian tax department. Proof of payment will be provided to the consultant upon request.</w:t>
      </w:r>
    </w:p>
    <w:p w14:paraId="432AC5EF" w14:textId="77777777" w:rsidR="002E45BE" w:rsidRPr="00AA477D" w:rsidRDefault="002E45BE" w:rsidP="002E45BE">
      <w:pPr>
        <w:spacing w:after="0" w:line="240" w:lineRule="auto"/>
        <w:ind w:left="720"/>
        <w:jc w:val="both"/>
        <w:rPr>
          <w:rFonts w:eastAsia="Calibri" w:cstheme="minorHAnsi"/>
          <w:sz w:val="20"/>
          <w:szCs w:val="20"/>
          <w:lang w:val="en-GB" w:eastAsia="en-GB"/>
        </w:rPr>
      </w:pPr>
    </w:p>
    <w:p w14:paraId="5AF82868" w14:textId="632F77CA" w:rsidR="002E45BE" w:rsidRPr="00AA477D" w:rsidRDefault="002E45BE" w:rsidP="002E45BE">
      <w:pPr>
        <w:widowControl w:val="0"/>
        <w:overflowPunct w:val="0"/>
        <w:autoSpaceDE w:val="0"/>
        <w:autoSpaceDN w:val="0"/>
        <w:adjustRightInd w:val="0"/>
        <w:spacing w:after="0"/>
        <w:jc w:val="both"/>
        <w:rPr>
          <w:rFonts w:eastAsia="Times New Roman" w:cstheme="minorHAnsi"/>
          <w:sz w:val="20"/>
          <w:szCs w:val="20"/>
          <w:lang w:val="en-AU"/>
        </w:rPr>
      </w:pPr>
      <w:r w:rsidRPr="00AA477D">
        <w:rPr>
          <w:rFonts w:eastAsia="Calibri" w:cstheme="minorHAnsi"/>
          <w:sz w:val="20"/>
          <w:szCs w:val="20"/>
          <w:lang w:val="en-GB" w:eastAsia="en-GB"/>
        </w:rPr>
        <w:t xml:space="preserve">*Daily rate: </w:t>
      </w:r>
      <w:r w:rsidRPr="00AA477D">
        <w:rPr>
          <w:rFonts w:cstheme="minorHAnsi"/>
          <w:sz w:val="20"/>
          <w:szCs w:val="20"/>
          <w:lang w:val="en-AU"/>
        </w:rPr>
        <w:t>the cost for this consultancy will be calculated on the number of days each research will require. Bidders are asked to fill their daily rate as it will be considered as price offer when multiplied by the number of days assigned to each bidder, number of days expected for this consultancy is</w:t>
      </w:r>
      <w:r w:rsidR="00AA477D" w:rsidRPr="00AA477D">
        <w:rPr>
          <w:rFonts w:cstheme="minorHAnsi"/>
          <w:sz w:val="20"/>
          <w:szCs w:val="20"/>
          <w:lang w:val="en-AU"/>
        </w:rPr>
        <w:t xml:space="preserve"> 37</w:t>
      </w:r>
      <w:r w:rsidRPr="00AA477D">
        <w:rPr>
          <w:rFonts w:cstheme="minorHAnsi"/>
          <w:sz w:val="20"/>
          <w:szCs w:val="20"/>
          <w:lang w:val="en-AU"/>
        </w:rPr>
        <w:t xml:space="preserve"> days</w:t>
      </w:r>
      <w:r w:rsidR="00AA477D">
        <w:rPr>
          <w:rFonts w:cstheme="minorHAnsi"/>
          <w:sz w:val="20"/>
          <w:szCs w:val="20"/>
          <w:lang w:val="en-AU"/>
        </w:rPr>
        <w:t xml:space="preserve">. </w:t>
      </w:r>
      <w:r w:rsidRPr="00AA477D">
        <w:rPr>
          <w:rFonts w:cstheme="minorHAnsi"/>
          <w:sz w:val="20"/>
          <w:szCs w:val="20"/>
          <w:lang w:val="en-AU"/>
        </w:rPr>
        <w:t>NRC has the right to split this consultancy on two or more bidders/ researchers if needed.</w:t>
      </w:r>
    </w:p>
    <w:p w14:paraId="2DD11CF4" w14:textId="10859EA3" w:rsidR="00183F19" w:rsidRDefault="00183F19" w:rsidP="00183F19">
      <w:pPr>
        <w:rPr>
          <w:rFonts w:cstheme="minorHAnsi"/>
          <w:sz w:val="20"/>
          <w:szCs w:val="20"/>
        </w:rPr>
      </w:pPr>
    </w:p>
    <w:p w14:paraId="712386B0" w14:textId="7AF305F8" w:rsidR="00646480" w:rsidRDefault="00646480" w:rsidP="00183F19">
      <w:pPr>
        <w:rPr>
          <w:rFonts w:cstheme="minorHAnsi"/>
          <w:sz w:val="20"/>
          <w:szCs w:val="20"/>
        </w:rPr>
      </w:pPr>
    </w:p>
    <w:p w14:paraId="5838FAFF" w14:textId="1D01E4E0" w:rsidR="00646480" w:rsidRDefault="00646480" w:rsidP="00183F19">
      <w:pPr>
        <w:rPr>
          <w:rFonts w:cstheme="minorHAnsi"/>
          <w:sz w:val="20"/>
          <w:szCs w:val="20"/>
        </w:rPr>
      </w:pPr>
    </w:p>
    <w:p w14:paraId="6CB62FDA" w14:textId="2456AD2B" w:rsidR="00646480" w:rsidRDefault="00646480" w:rsidP="00183F19">
      <w:pPr>
        <w:rPr>
          <w:rFonts w:cstheme="minorHAnsi"/>
          <w:sz w:val="20"/>
          <w:szCs w:val="20"/>
        </w:rPr>
      </w:pPr>
    </w:p>
    <w:p w14:paraId="2C3DFE8C" w14:textId="615B15FA" w:rsidR="00646480" w:rsidRDefault="00646480" w:rsidP="00183F19">
      <w:pPr>
        <w:rPr>
          <w:rFonts w:cstheme="minorHAnsi"/>
          <w:sz w:val="20"/>
          <w:szCs w:val="20"/>
        </w:rPr>
      </w:pPr>
    </w:p>
    <w:p w14:paraId="7E66FED8" w14:textId="504B9B4E" w:rsidR="00646480" w:rsidRDefault="00646480" w:rsidP="00183F19">
      <w:pPr>
        <w:rPr>
          <w:rFonts w:cstheme="minorHAnsi"/>
          <w:sz w:val="20"/>
          <w:szCs w:val="20"/>
        </w:rPr>
      </w:pPr>
    </w:p>
    <w:p w14:paraId="7F91DC78" w14:textId="19C3DF55" w:rsidR="00646480" w:rsidRDefault="00646480" w:rsidP="00183F19">
      <w:pPr>
        <w:rPr>
          <w:rFonts w:cstheme="minorHAnsi"/>
          <w:sz w:val="20"/>
          <w:szCs w:val="20"/>
        </w:rPr>
      </w:pPr>
    </w:p>
    <w:p w14:paraId="0A5B7D8C" w14:textId="72EC2A24" w:rsidR="00646480" w:rsidRDefault="00646480" w:rsidP="00183F19">
      <w:pPr>
        <w:rPr>
          <w:rFonts w:cstheme="minorHAnsi"/>
          <w:sz w:val="20"/>
          <w:szCs w:val="20"/>
        </w:rPr>
      </w:pPr>
    </w:p>
    <w:p w14:paraId="69198F73" w14:textId="14A13008" w:rsidR="00646480" w:rsidRDefault="00646480" w:rsidP="00183F19">
      <w:pPr>
        <w:rPr>
          <w:rFonts w:cstheme="minorHAnsi"/>
          <w:sz w:val="20"/>
          <w:szCs w:val="20"/>
        </w:rPr>
      </w:pPr>
    </w:p>
    <w:p w14:paraId="0430896C" w14:textId="77777777" w:rsidR="00646480" w:rsidRPr="00BC596F" w:rsidRDefault="00646480" w:rsidP="00646480">
      <w:pPr>
        <w:spacing w:after="0" w:line="240" w:lineRule="auto"/>
        <w:jc w:val="center"/>
        <w:rPr>
          <w:rFonts w:cstheme="minorHAnsi"/>
          <w:b/>
          <w:bCs/>
          <w:iCs/>
          <w:spacing w:val="5"/>
          <w:sz w:val="28"/>
          <w:szCs w:val="28"/>
          <w:lang w:val="en-GB"/>
        </w:rPr>
      </w:pPr>
      <w:r w:rsidRPr="00BC596F">
        <w:rPr>
          <w:rFonts w:cstheme="minorHAnsi"/>
          <w:b/>
          <w:bCs/>
          <w:iCs/>
          <w:spacing w:val="5"/>
          <w:sz w:val="28"/>
          <w:szCs w:val="28"/>
          <w:lang w:val="en-GB"/>
        </w:rPr>
        <w:lastRenderedPageBreak/>
        <w:t>Ethical Standards Declaration for all Supply, Service and Works Contractors</w:t>
      </w:r>
    </w:p>
    <w:p w14:paraId="5514A157" w14:textId="77777777" w:rsidR="00646480" w:rsidRPr="00BC596F" w:rsidRDefault="00646480" w:rsidP="00646480">
      <w:pPr>
        <w:spacing w:after="0" w:line="240" w:lineRule="auto"/>
        <w:rPr>
          <w:rFonts w:cstheme="minorHAnsi"/>
          <w:b/>
          <w:bCs/>
          <w:iCs/>
          <w:spacing w:val="5"/>
          <w:lang w:val="en-GB"/>
        </w:rPr>
      </w:pPr>
    </w:p>
    <w:p w14:paraId="137E6DC9" w14:textId="77777777" w:rsidR="00646480" w:rsidRPr="00BC596F" w:rsidRDefault="00646480" w:rsidP="00646480">
      <w:pPr>
        <w:spacing w:after="0" w:line="240" w:lineRule="auto"/>
        <w:rPr>
          <w:rFonts w:cstheme="minorHAnsi"/>
          <w:bCs/>
          <w:iCs/>
          <w:spacing w:val="5"/>
          <w:lang w:val="en-GB"/>
        </w:rPr>
      </w:pPr>
      <w:r w:rsidRPr="00BC596F">
        <w:rPr>
          <w:rFonts w:cstheme="minorHAnsi"/>
          <w:bCs/>
          <w:iCs/>
          <w:spacing w:val="5"/>
          <w:lang w:val="en-GB"/>
        </w:rPr>
        <w:t xml:space="preserve">NRC as a humanitarian organisation expects the contractors to have high ethical standards. “all contractors supplying or planning to supply goods, works or services must sign this declaration”. </w:t>
      </w:r>
    </w:p>
    <w:p w14:paraId="74467010" w14:textId="77777777" w:rsidR="00646480" w:rsidRPr="00BC596F" w:rsidRDefault="00646480" w:rsidP="00646480">
      <w:pPr>
        <w:spacing w:after="0" w:line="240" w:lineRule="auto"/>
        <w:rPr>
          <w:rFonts w:cstheme="minorHAnsi"/>
          <w:bCs/>
          <w:iCs/>
          <w:spacing w:val="5"/>
          <w:lang w:val="en-GB"/>
        </w:rPr>
      </w:pPr>
    </w:p>
    <w:p w14:paraId="4D4610EB" w14:textId="77777777" w:rsidR="00646480" w:rsidRDefault="00646480" w:rsidP="00646480">
      <w:pPr>
        <w:spacing w:after="0" w:line="240" w:lineRule="auto"/>
        <w:rPr>
          <w:rFonts w:cstheme="minorHAnsi"/>
          <w:bCs/>
          <w:iCs/>
          <w:spacing w:val="5"/>
          <w:lang w:val="en-GB"/>
        </w:rPr>
      </w:pPr>
      <w:r w:rsidRPr="00BC596F">
        <w:rPr>
          <w:rFonts w:cstheme="minorHAnsi"/>
          <w:bCs/>
          <w:iCs/>
          <w:spacing w:val="5"/>
          <w:lang w:val="en-GB"/>
        </w:rPr>
        <w:t>This declaration will be kept on file for a period of 10 years and should be updated every year or more often as appropriate.</w:t>
      </w:r>
    </w:p>
    <w:p w14:paraId="1403F1FF" w14:textId="77777777" w:rsidR="00646480" w:rsidRPr="00BC596F" w:rsidRDefault="00646480" w:rsidP="00646480">
      <w:pPr>
        <w:spacing w:after="0" w:line="240" w:lineRule="auto"/>
        <w:rPr>
          <w:rFonts w:cstheme="minorHAnsi"/>
          <w:bCs/>
          <w:iCs/>
          <w:spacing w:val="5"/>
          <w:lang w:val="en-GB"/>
        </w:rPr>
      </w:pPr>
    </w:p>
    <w:p w14:paraId="76678951" w14:textId="77777777" w:rsidR="00646480" w:rsidRPr="00BC596F" w:rsidRDefault="00646480" w:rsidP="00646480">
      <w:pPr>
        <w:spacing w:after="0" w:line="240" w:lineRule="auto"/>
        <w:rPr>
          <w:spacing w:val="5"/>
          <w:lang w:val="en-GB"/>
        </w:rPr>
      </w:pPr>
      <w:r w:rsidRPr="1018A7D4">
        <w:rPr>
          <w:spacing w:val="5"/>
          <w:lang w:val="en-GB"/>
        </w:rPr>
        <w:t xml:space="preserve">NRC staff may perform checks to verify that these standards are adhered to.  Should NRC deem that the contractor fails to meet or is not taking appropriate steps to meet these standards, any and all contracts and agreements with NRC may be terminated. </w:t>
      </w:r>
    </w:p>
    <w:p w14:paraId="7D0BE5C7" w14:textId="77777777" w:rsidR="00646480" w:rsidRPr="00BC596F" w:rsidRDefault="00646480" w:rsidP="00646480">
      <w:pPr>
        <w:spacing w:after="0" w:line="240" w:lineRule="auto"/>
        <w:rPr>
          <w:rFonts w:cstheme="minorHAnsi"/>
          <w:bCs/>
          <w:iCs/>
          <w:spacing w:val="5"/>
          <w:lang w:val="en-GB"/>
        </w:rPr>
      </w:pPr>
    </w:p>
    <w:p w14:paraId="4C7AFF26" w14:textId="77777777" w:rsidR="00646480" w:rsidRPr="00BC596F" w:rsidRDefault="00646480" w:rsidP="00646480">
      <w:pPr>
        <w:spacing w:after="0" w:line="240" w:lineRule="auto"/>
        <w:rPr>
          <w:rFonts w:cstheme="minorHAnsi"/>
          <w:bCs/>
          <w:iCs/>
          <w:spacing w:val="5"/>
          <w:lang w:val="en-GB"/>
        </w:rPr>
      </w:pPr>
      <w:r w:rsidRPr="00BC596F">
        <w:rPr>
          <w:rFonts w:cstheme="minorHAnsi"/>
          <w:bCs/>
          <w:iCs/>
          <w:spacing w:val="5"/>
          <w:lang w:val="en-GB"/>
        </w:rPr>
        <w:t>Any contractors doing business with Norwegian Refugee Council shall as a minimum;</w:t>
      </w:r>
    </w:p>
    <w:p w14:paraId="259B3863" w14:textId="77777777" w:rsidR="00646480" w:rsidRPr="00BC596F" w:rsidRDefault="00646480" w:rsidP="00646480">
      <w:pPr>
        <w:spacing w:after="0" w:line="240" w:lineRule="auto"/>
        <w:rPr>
          <w:rFonts w:cstheme="minorHAnsi"/>
          <w:bCs/>
          <w:iCs/>
          <w:spacing w:val="5"/>
          <w:lang w:val="en-GB"/>
        </w:rPr>
      </w:pPr>
    </w:p>
    <w:p w14:paraId="4ECEF0CD" w14:textId="77777777" w:rsidR="00646480" w:rsidRPr="00BC596F" w:rsidRDefault="00646480" w:rsidP="00646480">
      <w:pPr>
        <w:numPr>
          <w:ilvl w:val="0"/>
          <w:numId w:val="14"/>
        </w:numPr>
        <w:tabs>
          <w:tab w:val="num" w:pos="1110"/>
        </w:tabs>
        <w:spacing w:after="0" w:line="240" w:lineRule="auto"/>
        <w:rPr>
          <w:rFonts w:cstheme="minorHAnsi"/>
          <w:bCs/>
          <w:iCs/>
          <w:spacing w:val="5"/>
          <w:lang w:val="en-GB"/>
        </w:rPr>
      </w:pPr>
      <w:r w:rsidRPr="00BC596F">
        <w:rPr>
          <w:rFonts w:cstheme="minorHAnsi"/>
          <w:bCs/>
          <w:iCs/>
          <w:spacing w:val="5"/>
          <w:lang w:val="en-GB"/>
        </w:rPr>
        <w:t>Comply with all laws and regulations in effect in the country or countries of business</w:t>
      </w:r>
    </w:p>
    <w:p w14:paraId="73F8C335" w14:textId="77777777" w:rsidR="00646480" w:rsidRPr="00BC596F" w:rsidRDefault="00646480" w:rsidP="00646480">
      <w:pPr>
        <w:spacing w:after="0" w:line="240" w:lineRule="auto"/>
        <w:rPr>
          <w:rFonts w:cstheme="minorHAnsi"/>
          <w:bCs/>
          <w:iCs/>
          <w:spacing w:val="5"/>
          <w:lang w:val="en-GB"/>
        </w:rPr>
      </w:pPr>
      <w:r w:rsidRPr="00BC596F">
        <w:rPr>
          <w:rFonts w:cstheme="minorHAnsi"/>
          <w:bCs/>
          <w:iCs/>
          <w:spacing w:val="5"/>
          <w:lang w:val="en-GB"/>
        </w:rPr>
        <w:t>AND</w:t>
      </w:r>
    </w:p>
    <w:p w14:paraId="2965C72F" w14:textId="77777777" w:rsidR="00646480" w:rsidRPr="00BC596F" w:rsidRDefault="00646480" w:rsidP="00646480">
      <w:pPr>
        <w:numPr>
          <w:ilvl w:val="0"/>
          <w:numId w:val="14"/>
        </w:numPr>
        <w:tabs>
          <w:tab w:val="num" w:pos="1110"/>
        </w:tabs>
        <w:spacing w:after="0" w:line="240" w:lineRule="auto"/>
        <w:rPr>
          <w:rFonts w:cstheme="minorHAnsi"/>
          <w:bCs/>
          <w:iCs/>
          <w:spacing w:val="5"/>
          <w:lang w:val="en-GB"/>
        </w:rPr>
      </w:pPr>
      <w:r w:rsidRPr="00BC596F">
        <w:rPr>
          <w:rFonts w:cstheme="minorHAnsi"/>
          <w:bCs/>
          <w:iCs/>
          <w:spacing w:val="5"/>
          <w:lang w:val="en-GB"/>
        </w:rPr>
        <w:t xml:space="preserve">Meet the ethical standards as listed below.  </w:t>
      </w:r>
    </w:p>
    <w:p w14:paraId="40972486" w14:textId="77777777" w:rsidR="00646480" w:rsidRPr="00BC596F" w:rsidRDefault="00646480" w:rsidP="00646480">
      <w:pPr>
        <w:spacing w:after="0" w:line="240" w:lineRule="auto"/>
        <w:rPr>
          <w:rFonts w:cstheme="minorHAnsi"/>
          <w:bCs/>
          <w:iCs/>
          <w:spacing w:val="5"/>
          <w:lang w:val="en-GB"/>
        </w:rPr>
      </w:pPr>
      <w:r w:rsidRPr="00BC596F">
        <w:rPr>
          <w:rFonts w:cstheme="minorHAnsi"/>
          <w:bCs/>
          <w:iCs/>
          <w:spacing w:val="5"/>
          <w:lang w:val="en-GB"/>
        </w:rPr>
        <w:t xml:space="preserve"> OR</w:t>
      </w:r>
    </w:p>
    <w:p w14:paraId="01610957" w14:textId="77777777" w:rsidR="00646480" w:rsidRPr="00BC596F" w:rsidRDefault="00646480" w:rsidP="00646480">
      <w:pPr>
        <w:spacing w:after="0" w:line="240" w:lineRule="auto"/>
        <w:rPr>
          <w:rFonts w:cstheme="minorHAnsi"/>
          <w:bCs/>
          <w:iCs/>
          <w:spacing w:val="5"/>
          <w:lang w:val="en-GB"/>
        </w:rPr>
      </w:pPr>
      <w:r w:rsidRPr="00BC596F">
        <w:rPr>
          <w:rFonts w:cstheme="minorHAnsi"/>
          <w:bCs/>
          <w:iCs/>
          <w:spacing w:val="5"/>
          <w:lang w:val="en-GB"/>
        </w:rPr>
        <w:t xml:space="preserve">Positively agree to the standards and be willing to implement changes in their organisation.   </w:t>
      </w:r>
    </w:p>
    <w:p w14:paraId="02B00E39" w14:textId="77777777" w:rsidR="00646480" w:rsidRPr="00BC596F" w:rsidRDefault="00646480" w:rsidP="00646480">
      <w:pPr>
        <w:spacing w:after="0" w:line="240" w:lineRule="auto"/>
        <w:rPr>
          <w:rFonts w:cstheme="minorHAnsi"/>
          <w:bCs/>
          <w:iCs/>
          <w:spacing w:val="5"/>
          <w:lang w:val="en-GB"/>
        </w:rPr>
      </w:pPr>
      <w:r w:rsidRPr="00BC596F">
        <w:rPr>
          <w:rFonts w:cstheme="minorHAnsi"/>
          <w:bCs/>
          <w:iCs/>
          <w:spacing w:val="5"/>
          <w:lang w:val="en-GB"/>
        </w:rPr>
        <w:t xml:space="preserve"> </w:t>
      </w:r>
    </w:p>
    <w:p w14:paraId="371E5C5A" w14:textId="77777777" w:rsidR="00646480" w:rsidRPr="00BC596F" w:rsidRDefault="00646480" w:rsidP="00646480">
      <w:pPr>
        <w:numPr>
          <w:ilvl w:val="0"/>
          <w:numId w:val="15"/>
        </w:numPr>
        <w:spacing w:after="0" w:line="240" w:lineRule="auto"/>
        <w:ind w:left="284"/>
        <w:rPr>
          <w:rFonts w:cstheme="minorHAnsi"/>
          <w:b/>
          <w:bCs/>
          <w:iCs/>
          <w:spacing w:val="5"/>
          <w:lang w:val="en-GB"/>
        </w:rPr>
      </w:pPr>
      <w:r w:rsidRPr="00BC596F">
        <w:rPr>
          <w:rFonts w:cstheme="minorHAnsi"/>
          <w:b/>
          <w:bCs/>
          <w:iCs/>
          <w:spacing w:val="5"/>
          <w:lang w:val="en-GB"/>
        </w:rPr>
        <w:t>Anti-corruption and contractor’s compliance with laws and regulations:</w:t>
      </w:r>
    </w:p>
    <w:p w14:paraId="22C9BE27" w14:textId="77777777" w:rsidR="00646480" w:rsidRPr="00BC596F" w:rsidRDefault="00646480" w:rsidP="00646480">
      <w:pPr>
        <w:spacing w:after="0" w:line="240" w:lineRule="auto"/>
        <w:ind w:left="284"/>
        <w:rPr>
          <w:rFonts w:cstheme="minorHAnsi"/>
          <w:b/>
          <w:bCs/>
          <w:iCs/>
          <w:spacing w:val="5"/>
          <w:lang w:val="en-GB"/>
        </w:rPr>
      </w:pPr>
    </w:p>
    <w:p w14:paraId="3090940B"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The contractor confirms that it is not involved in any form of fraud, corruption, collusion, coercive practice, bribery, involvement in a criminal organization or other illegal activity.</w:t>
      </w:r>
    </w:p>
    <w:p w14:paraId="358C347A"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Where any potential conflict of interest exists between the contractor or any of the contractor’s staff members with any NRC staff member, the contractor shall notify NRC in writing of the potential conflict.  NRC shall then determine whether action is required.   A conflict of interest can be due to a relationship with a staff member such as close family etc.</w:t>
      </w:r>
    </w:p>
    <w:p w14:paraId="5EC5F4ED"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The contractor will immediately notify senior NRC management if exposed for alleged corruption by representatives of NRC.</w:t>
      </w:r>
    </w:p>
    <w:p w14:paraId="6B52024F" w14:textId="77777777" w:rsidR="00646480" w:rsidRPr="00BC596F" w:rsidRDefault="00646480" w:rsidP="00646480">
      <w:pPr>
        <w:numPr>
          <w:ilvl w:val="1"/>
          <w:numId w:val="15"/>
        </w:numPr>
        <w:spacing w:after="0" w:line="240" w:lineRule="auto"/>
        <w:ind w:left="284"/>
        <w:rPr>
          <w:spacing w:val="5"/>
          <w:lang w:val="en-GB"/>
        </w:rPr>
      </w:pPr>
      <w:r w:rsidRPr="1018A7D4">
        <w:rPr>
          <w:spacing w:val="5"/>
          <w:lang w:val="en-GB"/>
        </w:rPr>
        <w:t>The contractor shall be registered with the relevant government authority with regard to taxation.</w:t>
      </w:r>
    </w:p>
    <w:p w14:paraId="442F8536"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The contractor shall pay taxes according to all applicable national laws and regulations.</w:t>
      </w:r>
    </w:p>
    <w:p w14:paraId="6E1653D6"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The contractor warrants that it is not involved in the production or sale of any weapons including anti-personnel mines.</w:t>
      </w:r>
    </w:p>
    <w:p w14:paraId="699B362C" w14:textId="77777777" w:rsidR="00646480" w:rsidRPr="00BC596F" w:rsidRDefault="00646480" w:rsidP="00646480">
      <w:pPr>
        <w:spacing w:after="0" w:line="240" w:lineRule="auto"/>
        <w:ind w:left="284"/>
        <w:rPr>
          <w:rFonts w:cstheme="minorHAnsi"/>
          <w:b/>
          <w:bCs/>
          <w:iCs/>
          <w:spacing w:val="5"/>
          <w:lang w:val="en-GB"/>
        </w:rPr>
      </w:pPr>
    </w:p>
    <w:p w14:paraId="027A1286" w14:textId="77777777" w:rsidR="00646480" w:rsidRPr="00BC596F" w:rsidRDefault="00646480" w:rsidP="00646480">
      <w:pPr>
        <w:numPr>
          <w:ilvl w:val="0"/>
          <w:numId w:val="15"/>
        </w:numPr>
        <w:spacing w:after="0" w:line="240" w:lineRule="auto"/>
        <w:ind w:left="284"/>
        <w:rPr>
          <w:rFonts w:cstheme="minorHAnsi"/>
          <w:b/>
          <w:bCs/>
          <w:iCs/>
          <w:spacing w:val="5"/>
          <w:lang w:val="en-GB"/>
        </w:rPr>
      </w:pPr>
      <w:r w:rsidRPr="00BC596F">
        <w:rPr>
          <w:rFonts w:cstheme="minorHAnsi"/>
          <w:b/>
          <w:bCs/>
          <w:iCs/>
          <w:spacing w:val="5"/>
          <w:lang w:val="en-GB"/>
        </w:rPr>
        <w:t>Conditions related to the employees:</w:t>
      </w:r>
    </w:p>
    <w:p w14:paraId="20255EAC" w14:textId="77777777" w:rsidR="00646480" w:rsidRPr="00BC596F" w:rsidRDefault="00646480" w:rsidP="00646480">
      <w:pPr>
        <w:spacing w:after="0" w:line="240" w:lineRule="auto"/>
        <w:ind w:left="284"/>
        <w:rPr>
          <w:rFonts w:cstheme="minorHAnsi"/>
          <w:b/>
          <w:bCs/>
          <w:iCs/>
          <w:spacing w:val="5"/>
          <w:lang w:val="en-GB"/>
        </w:rPr>
      </w:pPr>
    </w:p>
    <w:p w14:paraId="54ADA49B"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 xml:space="preserve">No workers in our company will be forced, bonded or involuntary prison workers. </w:t>
      </w:r>
    </w:p>
    <w:p w14:paraId="2490C107"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Workers shall not be required to lodge “deposits” or identity papers with their employer and shall be free to leave their employer after reasonable notice.</w:t>
      </w:r>
    </w:p>
    <w:p w14:paraId="6049E08A"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Workers, without distinction, shall have the right to join or form trade unions of their own choosing and to bargain collectively.</w:t>
      </w:r>
    </w:p>
    <w:p w14:paraId="0D37F46A"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Persons under the age of 18 shall not be engaged in work which is hazardous to their health or safety, including night work.</w:t>
      </w:r>
    </w:p>
    <w:p w14:paraId="36A837A9"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 xml:space="preserve">Employers of persons under the age of 18 must ensure that the working hours and nature of the work does not interfere with the child’s opportunity to complete his/ her education. </w:t>
      </w:r>
    </w:p>
    <w:p w14:paraId="6E6C2E3A" w14:textId="77777777" w:rsidR="00646480" w:rsidRPr="00BC596F" w:rsidRDefault="00646480" w:rsidP="00646480">
      <w:pPr>
        <w:numPr>
          <w:ilvl w:val="1"/>
          <w:numId w:val="15"/>
        </w:numPr>
        <w:spacing w:after="0" w:line="240" w:lineRule="auto"/>
        <w:ind w:left="284"/>
        <w:rPr>
          <w:spacing w:val="5"/>
          <w:lang w:val="en-GB"/>
        </w:rPr>
      </w:pPr>
      <w:r w:rsidRPr="1018A7D4">
        <w:rPr>
          <w:spacing w:val="5"/>
          <w:lang w:val="en-GB"/>
        </w:rPr>
        <w:lastRenderedPageBreak/>
        <w:t xml:space="preserve">There shall be no discrimination at the work place based on ethnic background, religion, age, disability, gender, marital status, sexual orientation, union membership or political affiliation. </w:t>
      </w:r>
    </w:p>
    <w:p w14:paraId="47364D1F"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Measures shall be established to protect workers from sexually intrusive, threatening, insulting or exploitative behaviour, and from discrimination or termination of employment on unjustifiable grounds, e.g. marriage, pregnancy, parenthood or HIV status.</w:t>
      </w:r>
    </w:p>
    <w:p w14:paraId="09398764"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Physical abuse or punishment, or threats of physical abuse, sexual or other harassment and verbal abuse, as well as other forms of intimidation, shall be prohibited.</w:t>
      </w:r>
    </w:p>
    <w:p w14:paraId="7F0BB4BB"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F216CFB" w14:textId="77777777" w:rsidR="00646480" w:rsidRPr="00BC596F" w:rsidRDefault="00646480" w:rsidP="00646480">
      <w:pPr>
        <w:numPr>
          <w:ilvl w:val="1"/>
          <w:numId w:val="15"/>
        </w:numPr>
        <w:spacing w:after="0" w:line="240" w:lineRule="auto"/>
        <w:ind w:left="284" w:hanging="426"/>
        <w:rPr>
          <w:rFonts w:cstheme="minorHAnsi"/>
          <w:bCs/>
          <w:iCs/>
          <w:spacing w:val="5"/>
          <w:lang w:val="en-GB"/>
        </w:rPr>
      </w:pPr>
      <w:r w:rsidRPr="00BC596F">
        <w:rPr>
          <w:rFonts w:cstheme="minorHAnsi"/>
          <w:bCs/>
          <w:iCs/>
          <w:spacing w:val="5"/>
          <w:lang w:val="en-GB"/>
        </w:rPr>
        <w:t xml:space="preserve">Wages and benefits paid for a standard working week shall meet, at a minimum, national legal standards or industry benchmark standards, whichever is higher. Wages should always be enough to meet basic needs. </w:t>
      </w:r>
    </w:p>
    <w:p w14:paraId="405ECD8C" w14:textId="77777777" w:rsidR="00646480" w:rsidRPr="00BC596F" w:rsidRDefault="00646480" w:rsidP="00646480">
      <w:pPr>
        <w:numPr>
          <w:ilvl w:val="1"/>
          <w:numId w:val="15"/>
        </w:numPr>
        <w:spacing w:after="0" w:line="240" w:lineRule="auto"/>
        <w:ind w:left="284" w:hanging="426"/>
        <w:rPr>
          <w:rFonts w:cstheme="minorHAnsi"/>
          <w:bCs/>
          <w:iCs/>
          <w:spacing w:val="5"/>
          <w:lang w:val="en-GB"/>
        </w:rPr>
      </w:pPr>
      <w:r w:rsidRPr="00BC596F">
        <w:rPr>
          <w:rFonts w:cstheme="minorHAnsi"/>
          <w:bCs/>
          <w:iCs/>
          <w:spacing w:val="5"/>
          <w:lang w:val="en-GB"/>
        </w:rPr>
        <w:t>Working hours shall comply with national laws and benchmark industry standards, whichever affords greater protection. It is recommended that working hours do not exceed 48 hours per week (8 hours per day).</w:t>
      </w:r>
    </w:p>
    <w:p w14:paraId="10005126" w14:textId="77777777" w:rsidR="00646480" w:rsidRPr="00BC596F" w:rsidRDefault="00646480" w:rsidP="00646480">
      <w:pPr>
        <w:numPr>
          <w:ilvl w:val="1"/>
          <w:numId w:val="15"/>
        </w:numPr>
        <w:spacing w:after="0" w:line="240" w:lineRule="auto"/>
        <w:ind w:left="284" w:hanging="426"/>
        <w:rPr>
          <w:rFonts w:cstheme="minorHAnsi"/>
          <w:bCs/>
          <w:iCs/>
          <w:spacing w:val="5"/>
          <w:lang w:val="en-GB"/>
        </w:rPr>
      </w:pPr>
      <w:r w:rsidRPr="00BC596F">
        <w:rPr>
          <w:rFonts w:cstheme="minorHAnsi"/>
          <w:bCs/>
          <w:iCs/>
          <w:spacing w:val="5"/>
          <w:lang w:val="en-GB"/>
        </w:rPr>
        <w:t>Workers shall be provided with at least one day off for every 7-day period.</w:t>
      </w:r>
    </w:p>
    <w:p w14:paraId="7735D7BF" w14:textId="77777777" w:rsidR="00646480" w:rsidRPr="00BC596F" w:rsidRDefault="00646480" w:rsidP="00646480">
      <w:pPr>
        <w:numPr>
          <w:ilvl w:val="1"/>
          <w:numId w:val="15"/>
        </w:numPr>
        <w:spacing w:after="0" w:line="240" w:lineRule="auto"/>
        <w:ind w:left="284" w:hanging="426"/>
        <w:rPr>
          <w:rFonts w:cstheme="minorHAnsi"/>
          <w:bCs/>
          <w:iCs/>
          <w:spacing w:val="5"/>
          <w:lang w:val="en-GB"/>
        </w:rPr>
      </w:pPr>
      <w:r w:rsidRPr="00BC596F">
        <w:rPr>
          <w:rFonts w:cstheme="minorHAnsi"/>
          <w:bCs/>
          <w:iCs/>
          <w:spacing w:val="5"/>
          <w:lang w:val="en-GB"/>
        </w:rPr>
        <w:t>All workers are entitled to a contract of employment that shall be written in a language they understand.</w:t>
      </w:r>
    </w:p>
    <w:p w14:paraId="67A2BC63" w14:textId="77777777" w:rsidR="00646480" w:rsidRPr="00BC596F" w:rsidRDefault="00646480" w:rsidP="00646480">
      <w:pPr>
        <w:numPr>
          <w:ilvl w:val="1"/>
          <w:numId w:val="15"/>
        </w:numPr>
        <w:spacing w:after="0" w:line="240" w:lineRule="auto"/>
        <w:ind w:left="284" w:hanging="426"/>
        <w:rPr>
          <w:rFonts w:cstheme="minorHAnsi"/>
          <w:bCs/>
          <w:iCs/>
          <w:spacing w:val="5"/>
          <w:lang w:val="en-GB"/>
        </w:rPr>
      </w:pPr>
      <w:r w:rsidRPr="00BC596F">
        <w:rPr>
          <w:rFonts w:cstheme="minorHAnsi"/>
          <w:bCs/>
          <w:iCs/>
          <w:spacing w:val="5"/>
          <w:lang w:val="en-GB"/>
        </w:rPr>
        <w:t>Workers shall receive regular and documented health and safety training, and such training shall be repeated for new workers.</w:t>
      </w:r>
    </w:p>
    <w:p w14:paraId="6922017F" w14:textId="77777777" w:rsidR="00646480" w:rsidRPr="00BC596F" w:rsidRDefault="00646480" w:rsidP="00646480">
      <w:pPr>
        <w:numPr>
          <w:ilvl w:val="1"/>
          <w:numId w:val="15"/>
        </w:numPr>
        <w:spacing w:after="0" w:line="240" w:lineRule="auto"/>
        <w:ind w:left="284" w:hanging="426"/>
        <w:rPr>
          <w:rFonts w:cstheme="minorHAnsi"/>
          <w:bCs/>
          <w:iCs/>
          <w:spacing w:val="5"/>
          <w:lang w:val="en-GB"/>
        </w:rPr>
      </w:pPr>
      <w:r w:rsidRPr="00BC596F">
        <w:rPr>
          <w:rFonts w:cstheme="minorHAnsi"/>
          <w:bCs/>
          <w:iCs/>
          <w:spacing w:val="5"/>
          <w:lang w:val="en-GB"/>
        </w:rPr>
        <w:t>Access to clean toilet facilities and to potable water, and, if appropriate, sanitary facilities for food storage shall be provided.</w:t>
      </w:r>
    </w:p>
    <w:p w14:paraId="58A055AE" w14:textId="77777777" w:rsidR="00646480" w:rsidRPr="00BC596F" w:rsidRDefault="00646480" w:rsidP="00646480">
      <w:pPr>
        <w:numPr>
          <w:ilvl w:val="1"/>
          <w:numId w:val="15"/>
        </w:numPr>
        <w:spacing w:after="0" w:line="240" w:lineRule="auto"/>
        <w:ind w:left="284" w:hanging="426"/>
        <w:rPr>
          <w:rFonts w:cstheme="minorHAnsi"/>
          <w:bCs/>
          <w:iCs/>
          <w:spacing w:val="5"/>
          <w:lang w:val="en-GB"/>
        </w:rPr>
      </w:pPr>
      <w:r w:rsidRPr="00BC596F">
        <w:rPr>
          <w:rFonts w:cstheme="minorHAnsi"/>
          <w:bCs/>
          <w:iCs/>
          <w:spacing w:val="5"/>
          <w:lang w:val="en-GB"/>
        </w:rPr>
        <w:t>Accommodation, where provided, shall be clean, safe and adequately ventilated, and shall have access to clean toilet facilities and potable water.</w:t>
      </w:r>
    </w:p>
    <w:p w14:paraId="1A03C74F" w14:textId="77777777" w:rsidR="00646480" w:rsidRPr="00BC596F" w:rsidRDefault="00646480" w:rsidP="00646480">
      <w:pPr>
        <w:numPr>
          <w:ilvl w:val="1"/>
          <w:numId w:val="15"/>
        </w:numPr>
        <w:spacing w:after="0" w:line="240" w:lineRule="auto"/>
        <w:ind w:left="284" w:hanging="426"/>
        <w:rPr>
          <w:rFonts w:cstheme="minorHAnsi"/>
          <w:bCs/>
          <w:iCs/>
          <w:spacing w:val="5"/>
          <w:lang w:val="en-GB"/>
        </w:rPr>
      </w:pPr>
      <w:r w:rsidRPr="00BC596F">
        <w:rPr>
          <w:rFonts w:cstheme="minorHAnsi"/>
          <w:bCs/>
          <w:iCs/>
          <w:spacing w:val="5"/>
          <w:lang w:val="en-GB"/>
        </w:rPr>
        <w:t>No Deductions from wages shall be made as a disciplinary measure.</w:t>
      </w:r>
    </w:p>
    <w:p w14:paraId="1E01E609" w14:textId="77777777" w:rsidR="00646480" w:rsidRPr="00BC596F" w:rsidRDefault="00646480" w:rsidP="00646480">
      <w:pPr>
        <w:spacing w:after="0" w:line="240" w:lineRule="auto"/>
        <w:ind w:left="284"/>
        <w:rPr>
          <w:rFonts w:cstheme="minorHAnsi"/>
          <w:bCs/>
          <w:iCs/>
          <w:spacing w:val="5"/>
          <w:lang w:val="en-GB"/>
        </w:rPr>
      </w:pPr>
    </w:p>
    <w:p w14:paraId="49E2B3EC" w14:textId="77777777" w:rsidR="00646480" w:rsidRPr="00BC596F" w:rsidRDefault="00646480" w:rsidP="00646480">
      <w:pPr>
        <w:numPr>
          <w:ilvl w:val="0"/>
          <w:numId w:val="15"/>
        </w:numPr>
        <w:spacing w:after="0" w:line="240" w:lineRule="auto"/>
        <w:ind w:left="284"/>
        <w:rPr>
          <w:rFonts w:cstheme="minorHAnsi"/>
          <w:b/>
          <w:bCs/>
          <w:iCs/>
          <w:spacing w:val="5"/>
          <w:lang w:val="en-GB"/>
        </w:rPr>
      </w:pPr>
      <w:r w:rsidRPr="00BC596F">
        <w:rPr>
          <w:rFonts w:cstheme="minorHAnsi"/>
          <w:b/>
          <w:bCs/>
          <w:iCs/>
          <w:spacing w:val="5"/>
          <w:lang w:val="en-GB"/>
        </w:rPr>
        <w:t>Environmental conditions:</w:t>
      </w:r>
    </w:p>
    <w:p w14:paraId="191D379C" w14:textId="77777777" w:rsidR="00646480" w:rsidRPr="00BC596F" w:rsidRDefault="00646480" w:rsidP="00646480">
      <w:pPr>
        <w:spacing w:after="0" w:line="240" w:lineRule="auto"/>
        <w:ind w:left="284"/>
        <w:rPr>
          <w:rFonts w:cstheme="minorHAnsi"/>
          <w:b/>
          <w:bCs/>
          <w:iCs/>
          <w:spacing w:val="5"/>
          <w:lang w:val="en-GB"/>
        </w:rPr>
      </w:pPr>
    </w:p>
    <w:p w14:paraId="10EB0B1B"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2415BD76"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7112299C"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National and international environmental legislation and regulations shall be respected.</w:t>
      </w:r>
    </w:p>
    <w:p w14:paraId="60D34C64" w14:textId="77777777" w:rsidR="00646480" w:rsidRPr="00BC596F" w:rsidRDefault="00646480" w:rsidP="00646480">
      <w:pPr>
        <w:numPr>
          <w:ilvl w:val="1"/>
          <w:numId w:val="15"/>
        </w:numPr>
        <w:spacing w:after="0" w:line="240" w:lineRule="auto"/>
        <w:ind w:left="284"/>
        <w:rPr>
          <w:rFonts w:cstheme="minorHAnsi"/>
          <w:bCs/>
          <w:iCs/>
          <w:spacing w:val="5"/>
          <w:lang w:val="en-GB"/>
        </w:rPr>
      </w:pPr>
      <w:r w:rsidRPr="00BC596F">
        <w:rPr>
          <w:rFonts w:cstheme="minorHAnsi"/>
          <w:bCs/>
          <w:iCs/>
          <w:spacing w:val="5"/>
          <w:lang w:val="en-GB"/>
        </w:rPr>
        <w:t>Hazardous chemicals and other substances shall be carefully managed in accordance with documented safety procedures.</w:t>
      </w:r>
    </w:p>
    <w:p w14:paraId="252688F3" w14:textId="77777777" w:rsidR="00646480" w:rsidRDefault="00646480" w:rsidP="00646480">
      <w:pPr>
        <w:spacing w:after="0" w:line="240" w:lineRule="auto"/>
        <w:rPr>
          <w:rFonts w:cstheme="minorHAnsi"/>
          <w:bCs/>
          <w:iCs/>
          <w:spacing w:val="5"/>
          <w:lang w:val="en-GB"/>
        </w:rPr>
      </w:pPr>
    </w:p>
    <w:p w14:paraId="526085FA" w14:textId="77777777" w:rsidR="00646480" w:rsidRDefault="00646480" w:rsidP="00646480">
      <w:pPr>
        <w:spacing w:after="0" w:line="240" w:lineRule="auto"/>
        <w:rPr>
          <w:rFonts w:cstheme="minorHAnsi"/>
          <w:bCs/>
          <w:iCs/>
          <w:spacing w:val="5"/>
          <w:lang w:val="en-GB"/>
        </w:rPr>
      </w:pPr>
    </w:p>
    <w:p w14:paraId="5C00AE65" w14:textId="77777777" w:rsidR="00646480" w:rsidRDefault="00646480" w:rsidP="00646480">
      <w:pPr>
        <w:spacing w:after="0" w:line="240" w:lineRule="auto"/>
        <w:rPr>
          <w:rFonts w:cstheme="minorHAnsi"/>
          <w:bCs/>
          <w:iCs/>
          <w:spacing w:val="5"/>
          <w:lang w:val="en-GB"/>
        </w:rPr>
      </w:pPr>
    </w:p>
    <w:p w14:paraId="212F4C15" w14:textId="77777777" w:rsidR="00646480" w:rsidRDefault="00646480" w:rsidP="00646480">
      <w:pPr>
        <w:spacing w:after="0" w:line="240" w:lineRule="auto"/>
        <w:rPr>
          <w:rFonts w:cstheme="minorHAnsi"/>
          <w:bCs/>
          <w:iCs/>
          <w:spacing w:val="5"/>
          <w:lang w:val="en-GB"/>
        </w:rPr>
      </w:pPr>
    </w:p>
    <w:p w14:paraId="2E8690FB" w14:textId="77777777" w:rsidR="00646480" w:rsidRDefault="00646480" w:rsidP="00646480">
      <w:pPr>
        <w:spacing w:after="0" w:line="240" w:lineRule="auto"/>
        <w:rPr>
          <w:rFonts w:cstheme="minorHAnsi"/>
          <w:bCs/>
          <w:iCs/>
          <w:spacing w:val="5"/>
          <w:lang w:val="en-GB"/>
        </w:rPr>
      </w:pPr>
    </w:p>
    <w:p w14:paraId="7B74AE5E" w14:textId="77777777" w:rsidR="00646480" w:rsidRDefault="00646480" w:rsidP="00646480">
      <w:pPr>
        <w:spacing w:after="0" w:line="240" w:lineRule="auto"/>
        <w:rPr>
          <w:rFonts w:cstheme="minorHAnsi"/>
          <w:bCs/>
          <w:iCs/>
          <w:spacing w:val="5"/>
          <w:lang w:val="en-GB"/>
        </w:rPr>
      </w:pPr>
    </w:p>
    <w:p w14:paraId="46524D66" w14:textId="77777777" w:rsidR="00646480" w:rsidRPr="00BC596F" w:rsidRDefault="00646480" w:rsidP="00646480">
      <w:pPr>
        <w:spacing w:after="0" w:line="240" w:lineRule="auto"/>
        <w:rPr>
          <w:rFonts w:cstheme="minorHAnsi"/>
          <w:bCs/>
          <w:iCs/>
          <w:spacing w:val="5"/>
          <w:lang w:val="en-GB"/>
        </w:rPr>
      </w:pPr>
    </w:p>
    <w:p w14:paraId="5E7028A1" w14:textId="77777777" w:rsidR="00646480" w:rsidRPr="00BC596F" w:rsidRDefault="00646480" w:rsidP="00646480">
      <w:pPr>
        <w:spacing w:after="0" w:line="240" w:lineRule="auto"/>
        <w:rPr>
          <w:spacing w:val="5"/>
          <w:lang w:val="en-GB"/>
        </w:rPr>
      </w:pPr>
      <w:r w:rsidRPr="1018A7D4">
        <w:rPr>
          <w:spacing w:val="5"/>
          <w:lang w:val="en-GB"/>
        </w:rPr>
        <w:lastRenderedPageBreak/>
        <w:t>We, the undersigned, verify that we are in compliance with all applicable laws and regulations, and meet the ethical standards as listed above or positively agree to these ethical standards and are willing to implement necessary changes in the organisation.</w:t>
      </w:r>
    </w:p>
    <w:p w14:paraId="0FD39BE2" w14:textId="77777777" w:rsidR="00646480" w:rsidRPr="00BC596F" w:rsidRDefault="00646480" w:rsidP="00646480">
      <w:pPr>
        <w:spacing w:after="0" w:line="240" w:lineRule="auto"/>
        <w:rPr>
          <w:rFonts w:cstheme="minorHAnsi"/>
          <w:bCs/>
          <w:iCs/>
          <w:spacing w:val="5"/>
          <w:lang w:val="en-GB"/>
        </w:rPr>
      </w:pPr>
      <w:r w:rsidRPr="00BC596F">
        <w:rPr>
          <w:rFonts w:cstheme="minorHAnsi"/>
          <w:bCs/>
          <w:iCs/>
          <w:spacing w:val="5"/>
          <w:lang w:val="en-GB"/>
        </w:rPr>
        <w:tab/>
        <w:t xml:space="preserve"> </w:t>
      </w:r>
    </w:p>
    <w:p w14:paraId="440FD616" w14:textId="77777777" w:rsidR="00646480" w:rsidRPr="00BC596F" w:rsidRDefault="00646480" w:rsidP="00646480">
      <w:pPr>
        <w:spacing w:after="0" w:line="240" w:lineRule="auto"/>
        <w:rPr>
          <w:rFonts w:cstheme="minorHAnsi"/>
          <w:bCs/>
          <w:i/>
          <w:iCs/>
          <w:spacing w:val="5"/>
          <w:lang w:val="en-GB"/>
        </w:rPr>
      </w:pPr>
    </w:p>
    <w:p w14:paraId="2E94F18B" w14:textId="77777777" w:rsidR="00646480" w:rsidRPr="00BC596F" w:rsidRDefault="00646480" w:rsidP="00646480">
      <w:pPr>
        <w:spacing w:after="0" w:line="240" w:lineRule="auto"/>
        <w:rPr>
          <w:rFonts w:cstheme="minorHAnsi"/>
          <w:bCs/>
          <w:i/>
          <w:iCs/>
          <w:spacing w:val="5"/>
          <w:lang w:val="en-GB"/>
        </w:rPr>
      </w:pPr>
      <w:r w:rsidRPr="00BC596F">
        <w:rPr>
          <w:rFonts w:cstheme="minorHAnsi"/>
          <w:bCs/>
          <w:i/>
          <w:iCs/>
          <w:spacing w:val="5"/>
          <w:lang w:val="en-GB"/>
        </w:rPr>
        <w:t>DATE: _________________</w:t>
      </w:r>
    </w:p>
    <w:p w14:paraId="23033C63" w14:textId="77777777" w:rsidR="00646480" w:rsidRPr="00BC596F" w:rsidRDefault="00646480" w:rsidP="00646480">
      <w:pPr>
        <w:spacing w:after="0" w:line="240" w:lineRule="auto"/>
        <w:rPr>
          <w:rFonts w:cstheme="minorHAnsi"/>
          <w:bCs/>
          <w:i/>
          <w:iCs/>
          <w:spacing w:val="5"/>
          <w:lang w:val="en-GB"/>
        </w:rPr>
      </w:pPr>
    </w:p>
    <w:p w14:paraId="4E30621A" w14:textId="77777777" w:rsidR="00646480" w:rsidRPr="00BC596F" w:rsidRDefault="00646480" w:rsidP="00646480">
      <w:pPr>
        <w:spacing w:after="0" w:line="240" w:lineRule="auto"/>
        <w:rPr>
          <w:rFonts w:cstheme="minorHAnsi"/>
          <w:bCs/>
          <w:i/>
          <w:iCs/>
          <w:spacing w:val="5"/>
          <w:lang w:val="en-GB"/>
        </w:rPr>
      </w:pPr>
      <w:r w:rsidRPr="00BC596F">
        <w:rPr>
          <w:rFonts w:cstheme="minorHAnsi"/>
          <w:bCs/>
          <w:i/>
          <w:iCs/>
          <w:spacing w:val="5"/>
          <w:lang w:val="en-GB"/>
        </w:rPr>
        <w:t>NAME OF CONTRACTOR/COMPANY: ­</w:t>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t>_____________________________________________</w:t>
      </w:r>
    </w:p>
    <w:p w14:paraId="31306BDE" w14:textId="77777777" w:rsidR="00646480" w:rsidRPr="00BC596F" w:rsidRDefault="00646480" w:rsidP="00646480">
      <w:pPr>
        <w:spacing w:after="0" w:line="240" w:lineRule="auto"/>
        <w:rPr>
          <w:rFonts w:cstheme="minorHAnsi"/>
          <w:bCs/>
          <w:iCs/>
          <w:spacing w:val="5"/>
          <w:lang w:val="en-GB"/>
        </w:rPr>
      </w:pPr>
    </w:p>
    <w:p w14:paraId="29A6F71F" w14:textId="77777777" w:rsidR="00646480" w:rsidRPr="00BC596F" w:rsidRDefault="00646480" w:rsidP="00646480">
      <w:pPr>
        <w:spacing w:after="0" w:line="240" w:lineRule="auto"/>
        <w:rPr>
          <w:rFonts w:cstheme="minorHAnsi"/>
          <w:bCs/>
          <w:iCs/>
          <w:spacing w:val="5"/>
          <w:lang w:val="en-GB"/>
        </w:rPr>
      </w:pPr>
      <w:r w:rsidRPr="00BC596F">
        <w:rPr>
          <w:rFonts w:cstheme="minorHAnsi"/>
          <w:bCs/>
          <w:i/>
          <w:iCs/>
          <w:spacing w:val="5"/>
          <w:lang w:val="en-GB"/>
        </w:rPr>
        <w:t>NAME OF REPRESENTATIVE</w:t>
      </w:r>
      <w:r w:rsidRPr="00BC596F">
        <w:rPr>
          <w:rFonts w:cstheme="minorHAnsi"/>
          <w:bCs/>
          <w:iCs/>
          <w:spacing w:val="5"/>
          <w:lang w:val="en-GB"/>
        </w:rPr>
        <w:t xml:space="preserve"> ______________________________________________              </w:t>
      </w:r>
      <w:r w:rsidRPr="00BC596F">
        <w:rPr>
          <w:rFonts w:cstheme="minorHAnsi"/>
          <w:bCs/>
          <w:iCs/>
          <w:spacing w:val="5"/>
          <w:lang w:val="en-GB"/>
        </w:rPr>
        <w:tab/>
      </w:r>
    </w:p>
    <w:p w14:paraId="05632114" w14:textId="77777777" w:rsidR="00646480" w:rsidRPr="00BC596F" w:rsidRDefault="00646480" w:rsidP="00646480">
      <w:pPr>
        <w:spacing w:after="0" w:line="240" w:lineRule="auto"/>
        <w:rPr>
          <w:rFonts w:cstheme="minorHAnsi"/>
          <w:bCs/>
          <w:i/>
          <w:iCs/>
          <w:spacing w:val="5"/>
          <w:lang w:val="en-GB"/>
        </w:rPr>
      </w:pPr>
    </w:p>
    <w:p w14:paraId="46F8B450" w14:textId="77777777" w:rsidR="00646480" w:rsidRPr="00BC596F" w:rsidRDefault="00646480" w:rsidP="00646480">
      <w:pPr>
        <w:spacing w:after="0" w:line="240" w:lineRule="auto"/>
        <w:rPr>
          <w:rFonts w:cstheme="minorHAnsi"/>
          <w:bCs/>
          <w:iCs/>
          <w:spacing w:val="5"/>
          <w:lang w:val="en-GB"/>
        </w:rPr>
      </w:pPr>
      <w:r w:rsidRPr="00BC596F">
        <w:rPr>
          <w:rFonts w:cstheme="minorHAnsi"/>
          <w:bCs/>
          <w:i/>
          <w:iCs/>
          <w:spacing w:val="5"/>
          <w:lang w:val="en-GB"/>
        </w:rPr>
        <w:t>SIGNATURE:</w:t>
      </w:r>
      <w:r w:rsidRPr="00BC596F">
        <w:rPr>
          <w:rFonts w:cstheme="minorHAnsi"/>
          <w:bCs/>
          <w:iCs/>
          <w:spacing w:val="5"/>
          <w:lang w:val="en-GB"/>
        </w:rPr>
        <w:t xml:space="preserve"> __________________________________</w:t>
      </w:r>
    </w:p>
    <w:p w14:paraId="06BC630C" w14:textId="77777777" w:rsidR="00646480" w:rsidRPr="00AA477D" w:rsidRDefault="00646480" w:rsidP="00183F19">
      <w:pPr>
        <w:rPr>
          <w:rFonts w:cstheme="minorHAnsi"/>
          <w:sz w:val="20"/>
          <w:szCs w:val="20"/>
        </w:rPr>
      </w:pPr>
      <w:bookmarkStart w:id="0" w:name="_GoBack"/>
      <w:bookmarkEnd w:id="0"/>
    </w:p>
    <w:p w14:paraId="585491E2" w14:textId="77777777" w:rsidR="00183F19" w:rsidRPr="00AA477D" w:rsidRDefault="00183F19" w:rsidP="00183F19">
      <w:pPr>
        <w:jc w:val="both"/>
        <w:rPr>
          <w:rFonts w:cstheme="minorHAnsi"/>
          <w:sz w:val="20"/>
          <w:szCs w:val="20"/>
        </w:rPr>
      </w:pPr>
    </w:p>
    <w:p w14:paraId="7E137CBF" w14:textId="77777777" w:rsidR="00BC596F" w:rsidRPr="007E7A59" w:rsidRDefault="00BC596F" w:rsidP="00183F19">
      <w:pPr>
        <w:keepNext/>
        <w:keepLines/>
        <w:pBdr>
          <w:top w:val="single" w:sz="4" w:space="1" w:color="FF7602"/>
        </w:pBdr>
        <w:tabs>
          <w:tab w:val="left" w:pos="8816"/>
        </w:tabs>
        <w:spacing w:after="0" w:line="259" w:lineRule="auto"/>
        <w:jc w:val="center"/>
        <w:outlineLvl w:val="0"/>
        <w:rPr>
          <w:rStyle w:val="BookTitle"/>
          <w:rFonts w:cstheme="minorHAnsi"/>
          <w:b w:val="0"/>
          <w:i w:val="0"/>
        </w:rPr>
      </w:pPr>
    </w:p>
    <w:sectPr w:rsidR="00BC596F" w:rsidRPr="007E7A59" w:rsidSect="00D1416B">
      <w:headerReference w:type="default" r:id="rId16"/>
      <w:footerReference w:type="default" r:id="rId17"/>
      <w:pgSz w:w="11900" w:h="16840"/>
      <w:pgMar w:top="1560" w:right="1410" w:bottom="1440" w:left="1418" w:header="720" w:footer="3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3142B" w14:textId="77777777" w:rsidR="0027328D" w:rsidRDefault="0027328D">
      <w:r>
        <w:separator/>
      </w:r>
    </w:p>
  </w:endnote>
  <w:endnote w:type="continuationSeparator" w:id="0">
    <w:p w14:paraId="6B6D861A" w14:textId="77777777" w:rsidR="0027328D" w:rsidRDefault="0027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yriad Pro Light">
    <w:altName w:val="Arial"/>
    <w:panose1 w:val="00000000000000000000"/>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29C1" w14:textId="41B40310" w:rsidR="00887FBD" w:rsidRPr="005E44F6" w:rsidRDefault="00887FBD" w:rsidP="00207B86">
    <w:pPr>
      <w:ind w:left="-568" w:right="2"/>
      <w:jc w:val="center"/>
      <w:rPr>
        <w:rFonts w:ascii="Arial" w:hAnsi="Arial" w:cs="Arial"/>
        <w:color w:val="E36C0A" w:themeColor="accent6" w:themeShade="BF"/>
        <w:sz w:val="14"/>
        <w:szCs w:val="14"/>
        <w:lang w:val="en-GB"/>
      </w:rPr>
    </w:pPr>
    <w:r w:rsidRPr="005E44F6">
      <w:rPr>
        <w:rFonts w:ascii="Arial" w:hAnsi="Arial" w:cs="Arial"/>
        <w:noProof/>
        <w:color w:val="000000"/>
        <w:sz w:val="14"/>
        <w:szCs w:val="14"/>
      </w:rPr>
      <mc:AlternateContent>
        <mc:Choice Requires="wps">
          <w:drawing>
            <wp:anchor distT="0" distB="0" distL="114300" distR="114300" simplePos="0" relativeHeight="251658240" behindDoc="0" locked="0" layoutInCell="1" allowOverlap="1" wp14:anchorId="0BF6B8A5" wp14:editId="131657B4">
              <wp:simplePos x="0" y="0"/>
              <wp:positionH relativeFrom="column">
                <wp:posOffset>-444500</wp:posOffset>
              </wp:positionH>
              <wp:positionV relativeFrom="paragraph">
                <wp:posOffset>-128905</wp:posOffset>
              </wp:positionV>
              <wp:extent cx="6743700" cy="0"/>
              <wp:effectExtent l="12700" t="13970" r="6350"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635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3F7459"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15pt" to="49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" strokecolor="#f60" strokeweight=".5pt">
              <v:shadow opacity="22938f" offset="0"/>
            </v:line>
          </w:pict>
        </mc:Fallback>
      </mc:AlternateContent>
    </w:r>
    <w:r w:rsidRPr="005E44F6">
      <w:rPr>
        <w:rFonts w:ascii="Arial" w:hAnsi="Arial" w:cs="Arial"/>
        <w:color w:val="000000"/>
        <w:sz w:val="14"/>
        <w:szCs w:val="14"/>
        <w:lang w:val="en-GB"/>
      </w:rPr>
      <w:t xml:space="preserve"> </w:t>
    </w:r>
    <w:r w:rsidRPr="005E44F6">
      <w:rPr>
        <w:rFonts w:ascii="Arial" w:hAnsi="Arial" w:cs="Arial"/>
        <w:color w:val="E36C0A" w:themeColor="accent6" w:themeShade="BF"/>
        <w:sz w:val="14"/>
        <w:szCs w:val="14"/>
        <w:shd w:val="clear" w:color="4F81BD" w:fill="FFFFFF"/>
        <w:lang w:val="en-GB"/>
      </w:rPr>
      <w:t xml:space="preserve">NRC, </w:t>
    </w:r>
    <w:r w:rsidR="006E05CB" w:rsidRPr="005E44F6">
      <w:rPr>
        <w:rFonts w:ascii="Arial" w:hAnsi="Arial" w:cs="Arial"/>
        <w:color w:val="E36C0A" w:themeColor="accent6" w:themeShade="BF"/>
        <w:sz w:val="14"/>
        <w:szCs w:val="14"/>
        <w:shd w:val="clear" w:color="4F81BD" w:fill="FFFFFF"/>
        <w:lang w:val="en-GB"/>
      </w:rPr>
      <w:t>MERO,</w:t>
    </w:r>
    <w:r w:rsidRPr="005E44F6">
      <w:rPr>
        <w:rFonts w:ascii="Arial" w:hAnsi="Arial" w:cs="Arial"/>
        <w:color w:val="E36C0A" w:themeColor="accent6" w:themeShade="BF"/>
        <w:sz w:val="14"/>
        <w:szCs w:val="14"/>
        <w:shd w:val="clear" w:color="4F81BD" w:fill="FFFFFF"/>
        <w:lang w:val="en-GB"/>
      </w:rPr>
      <w:t xml:space="preserve"> Address </w:t>
    </w:r>
    <w:r w:rsidRPr="005E44F6">
      <w:rPr>
        <w:rFonts w:ascii="Arial" w:hAnsi="Arial" w:cs="Arial"/>
        <w:color w:val="E36C0A" w:themeColor="accent6" w:themeShade="BF"/>
        <w:sz w:val="14"/>
        <w:szCs w:val="14"/>
        <w:shd w:val="clear" w:color="auto" w:fill="FFFFFF"/>
      </w:rPr>
      <w:t xml:space="preserve">Al-Sharif Abdul Hamid Sharaf St. 93, </w:t>
    </w:r>
    <w:proofErr w:type="spellStart"/>
    <w:r>
      <w:rPr>
        <w:rFonts w:ascii="Arial" w:hAnsi="Arial" w:cs="Arial"/>
        <w:color w:val="E36C0A" w:themeColor="accent6" w:themeShade="BF"/>
        <w:sz w:val="14"/>
        <w:szCs w:val="14"/>
        <w:shd w:val="clear" w:color="auto" w:fill="FFFFFF"/>
      </w:rPr>
      <w:t>Shmeisani</w:t>
    </w:r>
    <w:proofErr w:type="spellEnd"/>
    <w:r>
      <w:rPr>
        <w:rFonts w:ascii="Arial" w:hAnsi="Arial" w:cs="Arial"/>
        <w:color w:val="E36C0A" w:themeColor="accent6" w:themeShade="BF"/>
        <w:sz w:val="14"/>
        <w:szCs w:val="14"/>
        <w:shd w:val="clear" w:color="auto" w:fill="FFFFFF"/>
      </w:rPr>
      <w:t xml:space="preserve">, </w:t>
    </w:r>
    <w:r w:rsidRPr="005E44F6">
      <w:rPr>
        <w:rFonts w:ascii="Arial" w:hAnsi="Arial" w:cs="Arial"/>
        <w:color w:val="E36C0A" w:themeColor="accent6" w:themeShade="BF"/>
        <w:sz w:val="14"/>
        <w:szCs w:val="14"/>
        <w:shd w:val="clear" w:color="auto" w:fill="FFFFFF"/>
      </w:rPr>
      <w:t>Amman, Jordan. Tel +962 7 9108 6978</w:t>
    </w:r>
    <w:r w:rsidRPr="005E44F6">
      <w:rPr>
        <w:rFonts w:ascii="Arial" w:hAnsi="Arial" w:cs="Arial"/>
        <w:color w:val="E36C0A" w:themeColor="accent6" w:themeShade="BF"/>
        <w:sz w:val="14"/>
        <w:szCs w:val="14"/>
        <w:shd w:val="clear" w:color="4F81BD" w:fill="FFFFFF"/>
        <w:lang w:val="en-GB"/>
      </w:rPr>
      <w:t>• www.nrc.no</w:t>
    </w:r>
  </w:p>
  <w:p w14:paraId="53B19F56" w14:textId="77777777" w:rsidR="00887FBD" w:rsidRDefault="00887FBD" w:rsidP="00DB45D9">
    <w:pPr>
      <w:pStyle w:val="Footer"/>
      <w:ind w:left="-568" w:righ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6E4E" w14:textId="77777777" w:rsidR="0027328D" w:rsidRDefault="0027328D">
      <w:r>
        <w:separator/>
      </w:r>
    </w:p>
  </w:footnote>
  <w:footnote w:type="continuationSeparator" w:id="0">
    <w:p w14:paraId="32EEAD73" w14:textId="77777777" w:rsidR="0027328D" w:rsidRDefault="0027328D">
      <w:r>
        <w:continuationSeparator/>
      </w:r>
    </w:p>
  </w:footnote>
  <w:footnote w:id="1">
    <w:p w14:paraId="4A5078CF" w14:textId="63B76C0A" w:rsidR="00183F19" w:rsidRPr="00183F19" w:rsidRDefault="00183F19" w:rsidP="00183F19">
      <w:pPr>
        <w:pStyle w:val="FootnoteText"/>
      </w:pPr>
    </w:p>
  </w:footnote>
  <w:footnote w:id="2">
    <w:p w14:paraId="0C377192" w14:textId="537CF2D7" w:rsidR="00183F19" w:rsidRPr="001E2E82" w:rsidRDefault="00183F19" w:rsidP="00183F19">
      <w:pPr>
        <w:pStyle w:val="TestoInterno"/>
        <w:spacing w:after="0"/>
        <w:jc w:val="both"/>
        <w:rPr>
          <w:lang w:val="en-US"/>
        </w:rPr>
      </w:pPr>
    </w:p>
  </w:footnote>
  <w:footnote w:id="3">
    <w:p w14:paraId="460CB5BF" w14:textId="7B7D0C47" w:rsidR="00183F19" w:rsidRPr="00FB637B" w:rsidRDefault="00183F19" w:rsidP="00183F19">
      <w:pPr>
        <w:pStyle w:val="FootnoteText"/>
        <w:rPr>
          <w:szCs w:val="16"/>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8D70" w14:textId="77777777" w:rsidR="00887FBD" w:rsidRDefault="00887FBD" w:rsidP="00CE1B88">
    <w:pPr>
      <w:pStyle w:val="Header"/>
      <w:ind w:right="-284"/>
      <w:jc w:val="right"/>
    </w:pPr>
    <w:r>
      <w:rPr>
        <w:noProof/>
      </w:rPr>
      <w:drawing>
        <wp:anchor distT="0" distB="0" distL="114300" distR="114300" simplePos="0" relativeHeight="251660288" behindDoc="0" locked="0" layoutInCell="1" allowOverlap="1" wp14:anchorId="26C6CC58" wp14:editId="339A054A">
          <wp:simplePos x="0" y="0"/>
          <wp:positionH relativeFrom="column">
            <wp:posOffset>0</wp:posOffset>
          </wp:positionH>
          <wp:positionV relativeFrom="paragraph">
            <wp:posOffset>0</wp:posOffset>
          </wp:positionV>
          <wp:extent cx="2171700" cy="708025"/>
          <wp:effectExtent l="0" t="0" r="0" b="0"/>
          <wp:wrapNone/>
          <wp:docPr id="3" name="Picture 3"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08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C9C000" wp14:editId="74D78ADA">
          <wp:extent cx="1960145" cy="657225"/>
          <wp:effectExtent l="0" t="0" r="2540" b="0"/>
          <wp:docPr id="2" name="Picture 2" descr="C:\Users\user\Pictures\NRC_ARAB_logo_horizontal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RC_ARAB_logo_horizontal_RGB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303" cy="658284"/>
                  </a:xfrm>
                  <a:prstGeom prst="rect">
                    <a:avLst/>
                  </a:prstGeom>
                  <a:noFill/>
                  <a:ln>
                    <a:noFill/>
                  </a:ln>
                </pic:spPr>
              </pic:pic>
            </a:graphicData>
          </a:graphic>
        </wp:inline>
      </w:drawing>
    </w:r>
    <w:r w:rsidRPr="00984F57">
      <w:rPr>
        <w:noProof/>
        <w:lang w:val="en-GB"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B5F"/>
    <w:multiLevelType w:val="hybridMultilevel"/>
    <w:tmpl w:val="2E4CA4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E545A2"/>
    <w:multiLevelType w:val="hybridMultilevel"/>
    <w:tmpl w:val="46DA7428"/>
    <w:lvl w:ilvl="0" w:tplc="96827E28">
      <w:start w:val="1"/>
      <w:numFmt w:val="lowerLetter"/>
      <w:lvlText w:val="%1)"/>
      <w:lvlJc w:val="left"/>
      <w:pPr>
        <w:tabs>
          <w:tab w:val="num" w:pos="2190"/>
        </w:tabs>
        <w:ind w:left="2190" w:hanging="750"/>
      </w:pPr>
      <w:rPr>
        <w:rFonts w:hint="default"/>
      </w:rPr>
    </w:lvl>
    <w:lvl w:ilvl="1" w:tplc="04140019" w:tentative="1">
      <w:start w:val="1"/>
      <w:numFmt w:val="lowerLetter"/>
      <w:lvlText w:val="%2."/>
      <w:lvlJc w:val="left"/>
      <w:pPr>
        <w:tabs>
          <w:tab w:val="num" w:pos="2520"/>
        </w:tabs>
        <w:ind w:left="2520" w:hanging="360"/>
      </w:pPr>
    </w:lvl>
    <w:lvl w:ilvl="2" w:tplc="0414001B" w:tentative="1">
      <w:start w:val="1"/>
      <w:numFmt w:val="lowerRoman"/>
      <w:lvlText w:val="%3."/>
      <w:lvlJc w:val="right"/>
      <w:pPr>
        <w:tabs>
          <w:tab w:val="num" w:pos="3240"/>
        </w:tabs>
        <w:ind w:left="3240" w:hanging="180"/>
      </w:pPr>
    </w:lvl>
    <w:lvl w:ilvl="3" w:tplc="0414000F" w:tentative="1">
      <w:start w:val="1"/>
      <w:numFmt w:val="decimal"/>
      <w:lvlText w:val="%4."/>
      <w:lvlJc w:val="left"/>
      <w:pPr>
        <w:tabs>
          <w:tab w:val="num" w:pos="3960"/>
        </w:tabs>
        <w:ind w:left="3960" w:hanging="360"/>
      </w:pPr>
    </w:lvl>
    <w:lvl w:ilvl="4" w:tplc="04140019" w:tentative="1">
      <w:start w:val="1"/>
      <w:numFmt w:val="lowerLetter"/>
      <w:lvlText w:val="%5."/>
      <w:lvlJc w:val="left"/>
      <w:pPr>
        <w:tabs>
          <w:tab w:val="num" w:pos="4680"/>
        </w:tabs>
        <w:ind w:left="4680" w:hanging="360"/>
      </w:pPr>
    </w:lvl>
    <w:lvl w:ilvl="5" w:tplc="0414001B" w:tentative="1">
      <w:start w:val="1"/>
      <w:numFmt w:val="lowerRoman"/>
      <w:lvlText w:val="%6."/>
      <w:lvlJc w:val="right"/>
      <w:pPr>
        <w:tabs>
          <w:tab w:val="num" w:pos="5400"/>
        </w:tabs>
        <w:ind w:left="5400" w:hanging="180"/>
      </w:pPr>
    </w:lvl>
    <w:lvl w:ilvl="6" w:tplc="0414000F" w:tentative="1">
      <w:start w:val="1"/>
      <w:numFmt w:val="decimal"/>
      <w:lvlText w:val="%7."/>
      <w:lvlJc w:val="left"/>
      <w:pPr>
        <w:tabs>
          <w:tab w:val="num" w:pos="6120"/>
        </w:tabs>
        <w:ind w:left="6120" w:hanging="360"/>
      </w:pPr>
    </w:lvl>
    <w:lvl w:ilvl="7" w:tplc="04140019" w:tentative="1">
      <w:start w:val="1"/>
      <w:numFmt w:val="lowerLetter"/>
      <w:lvlText w:val="%8."/>
      <w:lvlJc w:val="left"/>
      <w:pPr>
        <w:tabs>
          <w:tab w:val="num" w:pos="6840"/>
        </w:tabs>
        <w:ind w:left="6840" w:hanging="360"/>
      </w:pPr>
    </w:lvl>
    <w:lvl w:ilvl="8" w:tplc="0414001B" w:tentative="1">
      <w:start w:val="1"/>
      <w:numFmt w:val="lowerRoman"/>
      <w:lvlText w:val="%9."/>
      <w:lvlJc w:val="right"/>
      <w:pPr>
        <w:tabs>
          <w:tab w:val="num" w:pos="7560"/>
        </w:tabs>
        <w:ind w:left="7560" w:hanging="180"/>
      </w:pPr>
    </w:lvl>
  </w:abstractNum>
  <w:abstractNum w:abstractNumId="2" w15:restartNumberingAfterBreak="0">
    <w:nsid w:val="1130245A"/>
    <w:multiLevelType w:val="hybridMultilevel"/>
    <w:tmpl w:val="B0A4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07D86"/>
    <w:multiLevelType w:val="hybridMultilevel"/>
    <w:tmpl w:val="AB9C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227E7"/>
    <w:multiLevelType w:val="hybridMultilevel"/>
    <w:tmpl w:val="EAE26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303E0"/>
    <w:multiLevelType w:val="hybridMultilevel"/>
    <w:tmpl w:val="6D98D5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5A28CD"/>
    <w:multiLevelType w:val="hybridMultilevel"/>
    <w:tmpl w:val="E7902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CA4A3E"/>
    <w:multiLevelType w:val="hybridMultilevel"/>
    <w:tmpl w:val="65481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30620"/>
    <w:multiLevelType w:val="hybridMultilevel"/>
    <w:tmpl w:val="2D42A4C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53381"/>
    <w:multiLevelType w:val="hybridMultilevel"/>
    <w:tmpl w:val="12489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121F0"/>
    <w:multiLevelType w:val="hybridMultilevel"/>
    <w:tmpl w:val="2324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D3B0B"/>
    <w:multiLevelType w:val="hybridMultilevel"/>
    <w:tmpl w:val="CA2A34FA"/>
    <w:lvl w:ilvl="0" w:tplc="83E20770">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63FF1"/>
    <w:multiLevelType w:val="multilevel"/>
    <w:tmpl w:val="AC862E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6854231F"/>
    <w:multiLevelType w:val="hybridMultilevel"/>
    <w:tmpl w:val="2E32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92ABB"/>
    <w:multiLevelType w:val="hybridMultilevel"/>
    <w:tmpl w:val="0BE6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5"/>
  </w:num>
  <w:num w:numId="6">
    <w:abstractNumId w:val="0"/>
  </w:num>
  <w:num w:numId="7">
    <w:abstractNumId w:val="8"/>
  </w:num>
  <w:num w:numId="8">
    <w:abstractNumId w:val="11"/>
  </w:num>
  <w:num w:numId="9">
    <w:abstractNumId w:val="10"/>
  </w:num>
  <w:num w:numId="10">
    <w:abstractNumId w:val="9"/>
  </w:num>
  <w:num w:numId="11">
    <w:abstractNumId w:val="3"/>
  </w:num>
  <w:num w:numId="12">
    <w:abstractNumId w:val="13"/>
  </w:num>
  <w:num w:numId="13">
    <w:abstractNumId w:val="14"/>
  </w:num>
  <w:num w:numId="14">
    <w:abstractNumId w:val="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86"/>
    <w:rsid w:val="0000585D"/>
    <w:rsid w:val="000148FC"/>
    <w:rsid w:val="0002783E"/>
    <w:rsid w:val="00030096"/>
    <w:rsid w:val="00042C69"/>
    <w:rsid w:val="00047DD2"/>
    <w:rsid w:val="00065037"/>
    <w:rsid w:val="00085DA7"/>
    <w:rsid w:val="000D140B"/>
    <w:rsid w:val="000D41C8"/>
    <w:rsid w:val="0010648C"/>
    <w:rsid w:val="001518B8"/>
    <w:rsid w:val="00180DC4"/>
    <w:rsid w:val="00183F19"/>
    <w:rsid w:val="00184378"/>
    <w:rsid w:val="001D0CB3"/>
    <w:rsid w:val="001E15A4"/>
    <w:rsid w:val="001F3D92"/>
    <w:rsid w:val="001F6F9A"/>
    <w:rsid w:val="00204D45"/>
    <w:rsid w:val="002060CB"/>
    <w:rsid w:val="00207B86"/>
    <w:rsid w:val="00241BB2"/>
    <w:rsid w:val="002509CE"/>
    <w:rsid w:val="0025359E"/>
    <w:rsid w:val="002536AD"/>
    <w:rsid w:val="0027328D"/>
    <w:rsid w:val="00274FE9"/>
    <w:rsid w:val="002764AB"/>
    <w:rsid w:val="00280930"/>
    <w:rsid w:val="002948F1"/>
    <w:rsid w:val="002B549C"/>
    <w:rsid w:val="002B662C"/>
    <w:rsid w:val="002E45BE"/>
    <w:rsid w:val="00347E41"/>
    <w:rsid w:val="003512AB"/>
    <w:rsid w:val="003977AD"/>
    <w:rsid w:val="003B1419"/>
    <w:rsid w:val="003B6F6F"/>
    <w:rsid w:val="003E49CF"/>
    <w:rsid w:val="00411CC3"/>
    <w:rsid w:val="0041484C"/>
    <w:rsid w:val="00430FB2"/>
    <w:rsid w:val="00443258"/>
    <w:rsid w:val="004544B8"/>
    <w:rsid w:val="00480436"/>
    <w:rsid w:val="00482485"/>
    <w:rsid w:val="004B0609"/>
    <w:rsid w:val="004C5A5C"/>
    <w:rsid w:val="004D144A"/>
    <w:rsid w:val="004D6B12"/>
    <w:rsid w:val="004E6CB4"/>
    <w:rsid w:val="005007F9"/>
    <w:rsid w:val="005106BB"/>
    <w:rsid w:val="005128F8"/>
    <w:rsid w:val="005273CA"/>
    <w:rsid w:val="005413F1"/>
    <w:rsid w:val="005610E4"/>
    <w:rsid w:val="00566C98"/>
    <w:rsid w:val="005827B8"/>
    <w:rsid w:val="0058394E"/>
    <w:rsid w:val="00584C7B"/>
    <w:rsid w:val="00592908"/>
    <w:rsid w:val="005A3693"/>
    <w:rsid w:val="005C7062"/>
    <w:rsid w:val="005E44F6"/>
    <w:rsid w:val="00601615"/>
    <w:rsid w:val="0064468B"/>
    <w:rsid w:val="00646480"/>
    <w:rsid w:val="00657383"/>
    <w:rsid w:val="006670C4"/>
    <w:rsid w:val="006701BA"/>
    <w:rsid w:val="006778F1"/>
    <w:rsid w:val="006A20F8"/>
    <w:rsid w:val="006E05CB"/>
    <w:rsid w:val="00703273"/>
    <w:rsid w:val="00704CEA"/>
    <w:rsid w:val="00723125"/>
    <w:rsid w:val="0073588A"/>
    <w:rsid w:val="00740F80"/>
    <w:rsid w:val="00741CA2"/>
    <w:rsid w:val="00747258"/>
    <w:rsid w:val="00747941"/>
    <w:rsid w:val="00756DE1"/>
    <w:rsid w:val="007802DA"/>
    <w:rsid w:val="007948DF"/>
    <w:rsid w:val="007A1867"/>
    <w:rsid w:val="007B2E36"/>
    <w:rsid w:val="007B3BDE"/>
    <w:rsid w:val="007E7A59"/>
    <w:rsid w:val="007F25B6"/>
    <w:rsid w:val="008067AA"/>
    <w:rsid w:val="00815878"/>
    <w:rsid w:val="00852494"/>
    <w:rsid w:val="008736DC"/>
    <w:rsid w:val="0088612F"/>
    <w:rsid w:val="00887FBD"/>
    <w:rsid w:val="008A25A2"/>
    <w:rsid w:val="008C748F"/>
    <w:rsid w:val="00903FDE"/>
    <w:rsid w:val="009055FA"/>
    <w:rsid w:val="00956D8B"/>
    <w:rsid w:val="00981643"/>
    <w:rsid w:val="00984F57"/>
    <w:rsid w:val="009B21DD"/>
    <w:rsid w:val="009B77DA"/>
    <w:rsid w:val="009E306F"/>
    <w:rsid w:val="00A21E70"/>
    <w:rsid w:val="00A87F32"/>
    <w:rsid w:val="00A92EA0"/>
    <w:rsid w:val="00AA477D"/>
    <w:rsid w:val="00AC0142"/>
    <w:rsid w:val="00AC0D63"/>
    <w:rsid w:val="00B01F0F"/>
    <w:rsid w:val="00B37129"/>
    <w:rsid w:val="00B47E8C"/>
    <w:rsid w:val="00B544C7"/>
    <w:rsid w:val="00B631B7"/>
    <w:rsid w:val="00BC46EB"/>
    <w:rsid w:val="00BC596F"/>
    <w:rsid w:val="00BD0BC6"/>
    <w:rsid w:val="00BD1FF1"/>
    <w:rsid w:val="00BD5484"/>
    <w:rsid w:val="00C235B8"/>
    <w:rsid w:val="00C41CC1"/>
    <w:rsid w:val="00C82948"/>
    <w:rsid w:val="00C83149"/>
    <w:rsid w:val="00C87FEF"/>
    <w:rsid w:val="00CB76D9"/>
    <w:rsid w:val="00CD2857"/>
    <w:rsid w:val="00CE1537"/>
    <w:rsid w:val="00CE1B88"/>
    <w:rsid w:val="00CE2C36"/>
    <w:rsid w:val="00CF55F0"/>
    <w:rsid w:val="00CF6BC0"/>
    <w:rsid w:val="00D1416B"/>
    <w:rsid w:val="00D22988"/>
    <w:rsid w:val="00D22B1C"/>
    <w:rsid w:val="00D2400A"/>
    <w:rsid w:val="00D30C97"/>
    <w:rsid w:val="00D84960"/>
    <w:rsid w:val="00D9337C"/>
    <w:rsid w:val="00DB45D9"/>
    <w:rsid w:val="00DC4164"/>
    <w:rsid w:val="00E30024"/>
    <w:rsid w:val="00E477A4"/>
    <w:rsid w:val="00E60CA8"/>
    <w:rsid w:val="00E648C2"/>
    <w:rsid w:val="00E67D10"/>
    <w:rsid w:val="00E76438"/>
    <w:rsid w:val="00E83611"/>
    <w:rsid w:val="00EA03BC"/>
    <w:rsid w:val="00EB4A31"/>
    <w:rsid w:val="00EB6BE8"/>
    <w:rsid w:val="00EC471F"/>
    <w:rsid w:val="00EF0021"/>
    <w:rsid w:val="00EF4471"/>
    <w:rsid w:val="00F22E27"/>
    <w:rsid w:val="00F47CF1"/>
    <w:rsid w:val="00F84BA6"/>
    <w:rsid w:val="00FB4471"/>
    <w:rsid w:val="00FC7532"/>
    <w:rsid w:val="00FC7B36"/>
    <w:rsid w:val="00FD0FBC"/>
    <w:rsid w:val="00FE021A"/>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82FA35"/>
  <w15:docId w15:val="{1E0017A3-D1E6-47E2-81E0-191F5332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F1"/>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next w:val="Normal"/>
    <w:qFormat/>
    <w:rsid w:val="00B5545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1836"/>
    <w:rPr>
      <w:rFonts w:ascii="Lucida Grande" w:hAnsi="Lucida Grande"/>
      <w:sz w:val="18"/>
      <w:szCs w:val="18"/>
    </w:rPr>
  </w:style>
  <w:style w:type="paragraph" w:styleId="Header">
    <w:name w:val="header"/>
    <w:basedOn w:val="Normal"/>
    <w:rsid w:val="00862F4D"/>
    <w:pPr>
      <w:tabs>
        <w:tab w:val="center" w:pos="4320"/>
        <w:tab w:val="right" w:pos="8640"/>
      </w:tabs>
    </w:pPr>
  </w:style>
  <w:style w:type="paragraph" w:styleId="Footer">
    <w:name w:val="footer"/>
    <w:basedOn w:val="Normal"/>
    <w:semiHidden/>
    <w:rsid w:val="00862F4D"/>
    <w:pPr>
      <w:tabs>
        <w:tab w:val="center" w:pos="4320"/>
        <w:tab w:val="right" w:pos="8640"/>
      </w:tabs>
    </w:pPr>
  </w:style>
  <w:style w:type="character" w:customStyle="1" w:styleId="A0">
    <w:name w:val="A0"/>
    <w:uiPriority w:val="99"/>
    <w:rsid w:val="00207B86"/>
    <w:rPr>
      <w:rFonts w:ascii="Myriad Pro Light" w:hAnsi="Myriad Pro Light"/>
      <w:color w:val="221E1F"/>
      <w:sz w:val="14"/>
    </w:rPr>
  </w:style>
  <w:style w:type="table" w:styleId="TableGrid">
    <w:name w:val="Table Grid"/>
    <w:basedOn w:val="TableNormal"/>
    <w:uiPriority w:val="39"/>
    <w:rsid w:val="002948F1"/>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NRC"/>
    <w:basedOn w:val="Normal"/>
    <w:link w:val="ListParagraphChar"/>
    <w:uiPriority w:val="34"/>
    <w:qFormat/>
    <w:rsid w:val="002948F1"/>
    <w:pPr>
      <w:ind w:left="720"/>
      <w:contextualSpacing/>
    </w:pPr>
  </w:style>
  <w:style w:type="character" w:styleId="BookTitle">
    <w:name w:val="Book Title"/>
    <w:basedOn w:val="DefaultParagraphFont"/>
    <w:qFormat/>
    <w:rsid w:val="009E306F"/>
    <w:rPr>
      <w:b/>
      <w:bCs/>
      <w:i/>
      <w:iCs/>
      <w:spacing w:val="5"/>
    </w:rPr>
  </w:style>
  <w:style w:type="paragraph" w:styleId="FootnoteText">
    <w:name w:val="footnote text"/>
    <w:aliases w:val="Footnote text NRC,5_G,Sharp - Footnote Text,Footnote Text - Sharp,Footnote Text Char Char Char Char Char,Footnote Text Char Char Char Char,Footnote reference,FA Fu, Char,Footnote Text Char1 Char,Footnote Text Char Char Char,FN Text"/>
    <w:basedOn w:val="Normal"/>
    <w:link w:val="FootnoteTextChar"/>
    <w:uiPriority w:val="99"/>
    <w:unhideWhenUsed/>
    <w:qFormat/>
    <w:rsid w:val="00085DA7"/>
    <w:pPr>
      <w:spacing w:after="0" w:line="240" w:lineRule="auto"/>
    </w:pPr>
    <w:rPr>
      <w:sz w:val="24"/>
      <w:szCs w:val="24"/>
      <w:lang w:val="en-GB"/>
    </w:rPr>
  </w:style>
  <w:style w:type="character" w:customStyle="1" w:styleId="FootnoteTextChar">
    <w:name w:val="Footnote Text Char"/>
    <w:aliases w:val="Footnote text NRC Char,5_G Char,Sharp - Footnote Text Char,Footnote Text - Sharp Char,Footnote Text Char Char Char Char Char Char,Footnote Text Char Char Char Char Char1,Footnote reference Char,FA Fu Char, Char Char,FN Text Char"/>
    <w:basedOn w:val="DefaultParagraphFont"/>
    <w:link w:val="FootnoteText"/>
    <w:uiPriority w:val="99"/>
    <w:rsid w:val="00085DA7"/>
    <w:rPr>
      <w:rFonts w:asciiTheme="minorHAnsi" w:eastAsiaTheme="minorEastAsia" w:hAnsiTheme="minorHAnsi" w:cstheme="minorBidi"/>
      <w:sz w:val="24"/>
      <w:szCs w:val="24"/>
      <w:lang w:eastAsia="en-US"/>
    </w:rPr>
  </w:style>
  <w:style w:type="paragraph" w:customStyle="1" w:styleId="ColorfulList-Accent11">
    <w:name w:val="Colorful List - Accent 11"/>
    <w:basedOn w:val="Normal"/>
    <w:qFormat/>
    <w:rsid w:val="00BD5484"/>
    <w:pPr>
      <w:spacing w:after="0" w:line="240" w:lineRule="auto"/>
      <w:ind w:left="720"/>
    </w:pPr>
    <w:rPr>
      <w:rFonts w:ascii="Calibri" w:eastAsia="Calibri" w:hAnsi="Calibri" w:cs="Times New Roman"/>
      <w:lang w:eastAsia="en-GB"/>
    </w:rPr>
  </w:style>
  <w:style w:type="character" w:customStyle="1" w:styleId="ListParagraphChar">
    <w:name w:val="List Paragraph Char"/>
    <w:aliases w:val="List NRC Char"/>
    <w:link w:val="ListParagraph"/>
    <w:uiPriority w:val="34"/>
    <w:locked/>
    <w:rsid w:val="00BD5484"/>
    <w:rPr>
      <w:rFonts w:asciiTheme="minorHAnsi" w:eastAsiaTheme="minorEastAsia" w:hAnsiTheme="minorHAnsi" w:cstheme="minorBidi"/>
      <w:sz w:val="22"/>
      <w:szCs w:val="22"/>
      <w:lang w:val="en-US" w:eastAsia="en-US"/>
    </w:rPr>
  </w:style>
  <w:style w:type="character" w:styleId="Hyperlink">
    <w:name w:val="Hyperlink"/>
    <w:basedOn w:val="DefaultParagraphFont"/>
    <w:unhideWhenUsed/>
    <w:rsid w:val="00030096"/>
    <w:rPr>
      <w:color w:val="0000FF" w:themeColor="hyperlink"/>
      <w:u w:val="single"/>
    </w:rPr>
  </w:style>
  <w:style w:type="character" w:customStyle="1" w:styleId="UnresolvedMention1">
    <w:name w:val="Unresolved Mention1"/>
    <w:basedOn w:val="DefaultParagraphFont"/>
    <w:uiPriority w:val="99"/>
    <w:semiHidden/>
    <w:unhideWhenUsed/>
    <w:rsid w:val="00030096"/>
    <w:rPr>
      <w:color w:val="605E5C"/>
      <w:shd w:val="clear" w:color="auto" w:fill="E1DFDD"/>
    </w:rPr>
  </w:style>
  <w:style w:type="paragraph" w:styleId="NoSpacing">
    <w:name w:val="No Spacing"/>
    <w:link w:val="NoSpacingChar"/>
    <w:uiPriority w:val="1"/>
    <w:qFormat/>
    <w:rsid w:val="00430FB2"/>
    <w:rPr>
      <w:rFonts w:asciiTheme="minorHAnsi" w:eastAsiaTheme="minorHAnsi" w:hAnsiTheme="minorHAnsi" w:cstheme="minorBidi"/>
      <w:sz w:val="22"/>
      <w:szCs w:val="22"/>
      <w:lang w:val="en-US" w:eastAsia="en-US"/>
    </w:rPr>
  </w:style>
  <w:style w:type="character" w:styleId="CommentReference">
    <w:name w:val="annotation reference"/>
    <w:basedOn w:val="DefaultParagraphFont"/>
    <w:semiHidden/>
    <w:unhideWhenUsed/>
    <w:rsid w:val="00B01F0F"/>
    <w:rPr>
      <w:sz w:val="16"/>
      <w:szCs w:val="16"/>
    </w:rPr>
  </w:style>
  <w:style w:type="paragraph" w:styleId="CommentText">
    <w:name w:val="annotation text"/>
    <w:basedOn w:val="Normal"/>
    <w:link w:val="CommentTextChar"/>
    <w:semiHidden/>
    <w:unhideWhenUsed/>
    <w:rsid w:val="00B01F0F"/>
    <w:pPr>
      <w:spacing w:line="240" w:lineRule="auto"/>
    </w:pPr>
    <w:rPr>
      <w:sz w:val="20"/>
      <w:szCs w:val="20"/>
    </w:rPr>
  </w:style>
  <w:style w:type="character" w:customStyle="1" w:styleId="CommentTextChar">
    <w:name w:val="Comment Text Char"/>
    <w:basedOn w:val="DefaultParagraphFont"/>
    <w:link w:val="CommentText"/>
    <w:semiHidden/>
    <w:rsid w:val="00B01F0F"/>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rsid w:val="00B01F0F"/>
    <w:rPr>
      <w:b/>
      <w:bCs/>
    </w:rPr>
  </w:style>
  <w:style w:type="character" w:customStyle="1" w:styleId="CommentSubjectChar">
    <w:name w:val="Comment Subject Char"/>
    <w:basedOn w:val="CommentTextChar"/>
    <w:link w:val="CommentSubject"/>
    <w:semiHidden/>
    <w:rsid w:val="00B01F0F"/>
    <w:rPr>
      <w:rFonts w:asciiTheme="minorHAnsi" w:eastAsiaTheme="minorEastAsia" w:hAnsiTheme="minorHAnsi" w:cstheme="minorBidi"/>
      <w:b/>
      <w:bCs/>
      <w:lang w:val="en-US" w:eastAsia="en-US"/>
    </w:rPr>
  </w:style>
  <w:style w:type="character" w:styleId="FootnoteReference">
    <w:name w:val="footnote reference"/>
    <w:aliases w:val="16 Point,Superscript 6 Point,ftref,4_G,BVI fnr Char Char,BVI fnr Car Car Char Char,BVI fnr Car Char Char,BVI fnr Car Car Car Car Char Char,BVI fnr Char Char Char Char Char Char Char Char,BVI fnr Char,BVI fnr Char Char Char,note bp,FZ"/>
    <w:basedOn w:val="DefaultParagraphFont"/>
    <w:link w:val="BVIfnr"/>
    <w:uiPriority w:val="99"/>
    <w:unhideWhenUsed/>
    <w:qFormat/>
    <w:rsid w:val="00183F19"/>
    <w:rPr>
      <w:vertAlign w:val="superscript"/>
    </w:rPr>
  </w:style>
  <w:style w:type="character" w:customStyle="1" w:styleId="NoSpacingChar">
    <w:name w:val="No Spacing Char"/>
    <w:basedOn w:val="DefaultParagraphFont"/>
    <w:link w:val="NoSpacing"/>
    <w:uiPriority w:val="1"/>
    <w:rsid w:val="00183F19"/>
    <w:rPr>
      <w:rFonts w:asciiTheme="minorHAnsi" w:eastAsiaTheme="minorHAnsi" w:hAnsiTheme="minorHAnsi" w:cstheme="minorBidi"/>
      <w:sz w:val="22"/>
      <w:szCs w:val="22"/>
      <w:lang w:val="en-US" w:eastAsia="en-US"/>
    </w:rPr>
  </w:style>
  <w:style w:type="paragraph" w:customStyle="1" w:styleId="BVIfnr">
    <w:name w:val="BVI fnr"/>
    <w:aliases w:val="BVI fnr Car Car,BVI fnr Car,BVI fnr Car Car Car Car,BVI fnr Char Char Char Char Char Char,BVI fnr Car Car Char Char Char Char Char Char,Footnote Reference Char"/>
    <w:basedOn w:val="Normal"/>
    <w:link w:val="FootnoteReference"/>
    <w:uiPriority w:val="99"/>
    <w:rsid w:val="00183F19"/>
    <w:pPr>
      <w:keepNext/>
      <w:spacing w:before="240" w:after="160" w:line="240" w:lineRule="exact"/>
      <w:outlineLvl w:val="2"/>
    </w:pPr>
    <w:rPr>
      <w:rFonts w:ascii="Times New Roman" w:eastAsia="Times New Roman" w:hAnsi="Times New Roman" w:cs="Times New Roman"/>
      <w:sz w:val="20"/>
      <w:szCs w:val="20"/>
      <w:vertAlign w:val="superscript"/>
      <w:lang w:val="en-GB" w:eastAsia="en-GB"/>
    </w:rPr>
  </w:style>
  <w:style w:type="paragraph" w:customStyle="1" w:styleId="TestoInterno">
    <w:name w:val="Testo Interno"/>
    <w:basedOn w:val="NoSpacing"/>
    <w:qFormat/>
    <w:rsid w:val="00183F19"/>
    <w:pPr>
      <w:spacing w:after="120"/>
    </w:pPr>
    <w:rPr>
      <w:rFonts w:eastAsia="Times New Roman" w:cstheme="minorHAnsi"/>
      <w:bCs/>
      <w:lang w:val="en-GB"/>
    </w:rPr>
  </w:style>
  <w:style w:type="paragraph" w:styleId="EndnoteText">
    <w:name w:val="endnote text"/>
    <w:basedOn w:val="Normal"/>
    <w:link w:val="EndnoteTextChar"/>
    <w:semiHidden/>
    <w:unhideWhenUsed/>
    <w:rsid w:val="00183F19"/>
    <w:pPr>
      <w:spacing w:after="0" w:line="240" w:lineRule="auto"/>
    </w:pPr>
    <w:rPr>
      <w:sz w:val="20"/>
      <w:szCs w:val="20"/>
    </w:rPr>
  </w:style>
  <w:style w:type="character" w:customStyle="1" w:styleId="EndnoteTextChar">
    <w:name w:val="Endnote Text Char"/>
    <w:basedOn w:val="DefaultParagraphFont"/>
    <w:link w:val="EndnoteText"/>
    <w:semiHidden/>
    <w:rsid w:val="00183F19"/>
    <w:rPr>
      <w:rFonts w:asciiTheme="minorHAnsi" w:eastAsiaTheme="minorEastAsia" w:hAnsiTheme="minorHAnsi" w:cstheme="minorBidi"/>
      <w:lang w:val="en-US" w:eastAsia="en-US"/>
    </w:rPr>
  </w:style>
  <w:style w:type="character" w:styleId="EndnoteReference">
    <w:name w:val="endnote reference"/>
    <w:basedOn w:val="DefaultParagraphFont"/>
    <w:semiHidden/>
    <w:unhideWhenUsed/>
    <w:rsid w:val="00183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o.bids@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ildethics.com/ethical-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esdoc.unesco.org/images/0014/001418/141812e.pdf" TargetMode="External"/><Relationship Id="rId5" Type="http://schemas.openxmlformats.org/officeDocument/2006/relationships/numbering" Target="numbering.xml"/><Relationship Id="rId15" Type="http://schemas.openxmlformats.org/officeDocument/2006/relationships/hyperlink" Target="mailto:mero.bids@nrc.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ro.logistics@nrc.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NRC_letter_ENG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ADD5C17683FB4FBD6128D72B5D3D43" ma:contentTypeVersion="11" ma:contentTypeDescription="Opprett et nytt dokument." ma:contentTypeScope="" ma:versionID="00df57b728409d031094f8a407ae60ce">
  <xsd:schema xmlns:xsd="http://www.w3.org/2001/XMLSchema" xmlns:xs="http://www.w3.org/2001/XMLSchema" xmlns:p="http://schemas.microsoft.com/office/2006/metadata/properties" xmlns:ns3="b3277a7c-365d-4d2a-88a8-fb9c41b0b165" xmlns:ns4="b2301495-f767-4c19-a6f7-7fd6f0191cf3" targetNamespace="http://schemas.microsoft.com/office/2006/metadata/properties" ma:root="true" ma:fieldsID="a49bd84ca55e7c9243b5743baa153061" ns3:_="" ns4:_="">
    <xsd:import namespace="b3277a7c-365d-4d2a-88a8-fb9c41b0b165"/>
    <xsd:import namespace="b2301495-f767-4c19-a6f7-7fd6f0191c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77a7c-365d-4d2a-88a8-fb9c41b0b1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01495-f767-4c19-a6f7-7fd6f0191cf3"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D4EB-FE5B-4089-AB98-5A7279D8F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19598-9485-49B4-AB43-48250F48565B}">
  <ds:schemaRefs>
    <ds:schemaRef ds:uri="http://schemas.microsoft.com/sharepoint/v3/contenttype/forms"/>
  </ds:schemaRefs>
</ds:datastoreItem>
</file>

<file path=customXml/itemProps3.xml><?xml version="1.0" encoding="utf-8"?>
<ds:datastoreItem xmlns:ds="http://schemas.openxmlformats.org/officeDocument/2006/customXml" ds:itemID="{89613DD4-FFC0-44D9-8E59-5807920B1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77a7c-365d-4d2a-88a8-fb9c41b0b165"/>
    <ds:schemaRef ds:uri="b2301495-f767-4c19-a6f7-7fd6f0191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E97B1-A930-422D-9F53-68EEEC3C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NRC_letter_ENG_A4</Template>
  <TotalTime>3</TotalTime>
  <Pages>9</Pages>
  <Words>3455</Words>
  <Characters>19697</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GWW</Company>
  <LinksUpToDate>false</LinksUpToDate>
  <CharactersWithSpaces>23106</CharactersWithSpaces>
  <SharedDoc>false</SharedDoc>
  <HLinks>
    <vt:vector size="6" baseType="variant">
      <vt:variant>
        <vt:i4>7208962</vt:i4>
      </vt:variant>
      <vt:variant>
        <vt:i4>-1</vt:i4>
      </vt:variant>
      <vt:variant>
        <vt:i4>2057</vt:i4>
      </vt:variant>
      <vt:variant>
        <vt:i4>1</vt:i4>
      </vt:variant>
      <vt:variant>
        <vt:lpwstr>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Maysa Alarjan</cp:lastModifiedBy>
  <cp:revision>3</cp:revision>
  <cp:lastPrinted>2015-05-14T07:09:00Z</cp:lastPrinted>
  <dcterms:created xsi:type="dcterms:W3CDTF">2020-05-19T06:23:00Z</dcterms:created>
  <dcterms:modified xsi:type="dcterms:W3CDTF">2020-05-20T08:17:00Z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0x01010045ADD5C17683FB4FBD6128D72B5D3D43</vt:lpwstr>
  </property>
</Properties>
</file>