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92AC6" w14:textId="77777777" w:rsidR="00F4071B" w:rsidRDefault="00F4071B" w:rsidP="002B172F">
      <w:pPr>
        <w:pStyle w:val="Heading1"/>
        <w:numPr>
          <w:ilvl w:val="0"/>
          <w:numId w:val="0"/>
        </w:numPr>
        <w:ind w:left="357" w:hanging="357"/>
      </w:pPr>
      <w:r>
        <w:t>Terms of Reference</w:t>
      </w:r>
    </w:p>
    <w:p w14:paraId="3F3A9950" w14:textId="77777777" w:rsidR="27CBCB59" w:rsidRDefault="27CBCB59" w:rsidP="00CF8FF4">
      <w:r>
        <w:t>Youth Programme Evaluation</w:t>
      </w:r>
      <w:r w:rsidR="0CF0C7D4">
        <w:t xml:space="preserve"> in Camps</w:t>
      </w:r>
    </w:p>
    <w:p w14:paraId="4618726C" w14:textId="77777777" w:rsidR="00F4071B" w:rsidRDefault="00F4071B" w:rsidP="00EF76E4">
      <w:pPr>
        <w:rPr>
          <w:rFonts w:cstheme="minorHAnsi"/>
          <w:b/>
        </w:rPr>
      </w:pPr>
      <w:r>
        <w:rPr>
          <w:rFonts w:cstheme="minorHAnsi"/>
          <w:b/>
        </w:rPr>
        <w:t xml:space="preserve">1. Consultancy assignment background </w:t>
      </w:r>
    </w:p>
    <w:p w14:paraId="32EA6357" w14:textId="77777777" w:rsidR="00B519FB" w:rsidRDefault="00B519FB" w:rsidP="000621AD">
      <w:pPr>
        <w:spacing w:afterAutospacing="1"/>
        <w:jc w:val="both"/>
        <w:textAlignment w:val="baseline"/>
        <w:rPr>
          <w:lang w:eastAsia="en-GB"/>
        </w:rPr>
      </w:pPr>
      <w:r>
        <w:t xml:space="preserve">The Norwegian Refugee Council (NRC) is a non-profit organization registered with the Ministry of Interior of Jordan since 2008 and operational in Jordan since 2012.  </w:t>
      </w:r>
      <w:r w:rsidRPr="1E627BB5">
        <w:rPr>
          <w:lang w:eastAsia="en-GB"/>
        </w:rPr>
        <w:t>Since 2012, NRC has worked to build the resilience of Syrian refugees and Jordanian communities that host them. NRC supports vulnerable refugees and Jordanians in north and central Jordan and Azraq and Za</w:t>
      </w:r>
      <w:r w:rsidR="63FB6635" w:rsidRPr="1E627BB5">
        <w:rPr>
          <w:lang w:eastAsia="en-GB"/>
        </w:rPr>
        <w:t>a</w:t>
      </w:r>
      <w:r w:rsidRPr="1E627BB5">
        <w:rPr>
          <w:lang w:eastAsia="en-GB"/>
        </w:rPr>
        <w:t>tari camps.  In Jordan, NRC provides services in the following sectors: Shelter, Education, Youth, Basic Needs, Livelihoods and Information, Counselling, and Legal Assistance (ICLA). </w:t>
      </w:r>
    </w:p>
    <w:p w14:paraId="64F1CCBB" w14:textId="77777777" w:rsidR="00B519FB" w:rsidRPr="00C25485" w:rsidRDefault="00B519FB" w:rsidP="000621AD">
      <w:pPr>
        <w:jc w:val="both"/>
        <w:textAlignment w:val="baseline"/>
      </w:pPr>
      <w:r w:rsidRPr="002C62AC">
        <w:t>Jordan is home to ove</w:t>
      </w:r>
      <w:r w:rsidR="006F4EAA">
        <w:t>r 1.4m youth and 70% of the</w:t>
      </w:r>
      <w:r w:rsidRPr="002C62AC">
        <w:t xml:space="preserve"> population is under 30 years old</w:t>
      </w:r>
      <w:r w:rsidRPr="002C62AC">
        <w:rPr>
          <w:rStyle w:val="FootnoteReference"/>
        </w:rPr>
        <w:footnoteReference w:id="2"/>
      </w:r>
      <w:r w:rsidRPr="002C62AC">
        <w:t>.  This ‘youth bulge’ creates challenges in provision of youth services and meeting socio-economic needs, but also presents a potential ‘youth dividend’ to support Jord</w:t>
      </w:r>
      <w:r w:rsidR="006F4EAA">
        <w:t xml:space="preserve">an’s development.  </w:t>
      </w:r>
      <w:r w:rsidRPr="002C62AC">
        <w:t>75% of Syrian refugees in Jordan are below 35 years old</w:t>
      </w:r>
      <w:r w:rsidR="00D460D9">
        <w:rPr>
          <w:rStyle w:val="FootnoteReference"/>
        </w:rPr>
        <w:footnoteReference w:id="3"/>
      </w:r>
      <w:r>
        <w:t>.  B</w:t>
      </w:r>
      <w:r w:rsidRPr="002C62AC">
        <w:t>oth Jordanian</w:t>
      </w:r>
      <w:r>
        <w:t xml:space="preserve"> and Syrian youth are affected by</w:t>
      </w:r>
      <w:r w:rsidRPr="002C62AC">
        <w:t xml:space="preserve"> economic and social challenges stemming from </w:t>
      </w:r>
      <w:r>
        <w:t xml:space="preserve">inequality in access to education, </w:t>
      </w:r>
      <w:r w:rsidRPr="002C62AC">
        <w:t>high levels</w:t>
      </w:r>
      <w:r>
        <w:t xml:space="preserve"> of youth unemployment</w:t>
      </w:r>
      <w:r w:rsidR="00D460D9">
        <w:t xml:space="preserve"> (39</w:t>
      </w:r>
      <w:r w:rsidRPr="002C62AC">
        <w:t>%)</w:t>
      </w:r>
      <w:r w:rsidR="00D460D9">
        <w:rPr>
          <w:rStyle w:val="FootnoteReference"/>
        </w:rPr>
        <w:footnoteReference w:id="4"/>
      </w:r>
      <w:r w:rsidRPr="002C62AC">
        <w:t xml:space="preserve"> and from a transition gap bet</w:t>
      </w:r>
      <w:r>
        <w:t>ween education and employment. T</w:t>
      </w:r>
      <w:r w:rsidRPr="002C62AC">
        <w:t>he two most i</w:t>
      </w:r>
      <w:r w:rsidR="006F4EAA">
        <w:t>mportant factors quoted by young people</w:t>
      </w:r>
      <w:r w:rsidRPr="002C62AC">
        <w:t xml:space="preserve"> as affecting their wellbeing are access to education and livelihoods opportunities</w:t>
      </w:r>
      <w:r w:rsidR="006F4EAA">
        <w:rPr>
          <w:rStyle w:val="FootnoteReference"/>
        </w:rPr>
        <w:footnoteReference w:id="5"/>
      </w:r>
      <w:r w:rsidRPr="002C62AC">
        <w:t xml:space="preserve">.  </w:t>
      </w:r>
      <w:r w:rsidR="006F4EAA">
        <w:t>Syrian and Jordanian youth also place a strong emphasis on community service and civic participation and show interest and motivation to effect change</w:t>
      </w:r>
      <w:r w:rsidR="006F4EAA">
        <w:rPr>
          <w:rStyle w:val="FootnoteReference"/>
        </w:rPr>
        <w:footnoteReference w:id="6"/>
      </w:r>
      <w:r w:rsidR="006F4EAA">
        <w:t>. However, overall youth participation in civil society in Jordan is low</w:t>
      </w:r>
      <w:r w:rsidR="006D50B5">
        <w:rPr>
          <w:rStyle w:val="FootnoteReference"/>
        </w:rPr>
        <w:footnoteReference w:id="7"/>
      </w:r>
      <w:r w:rsidR="006F4EAA">
        <w:t xml:space="preserve">. </w:t>
      </w:r>
      <w:r w:rsidRPr="002C62AC">
        <w:t xml:space="preserve">Despite these </w:t>
      </w:r>
      <w:r>
        <w:t>challenges, youth in Jordan demonstrate the</w:t>
      </w:r>
      <w:r w:rsidRPr="002C62AC">
        <w:t xml:space="preserve"> potential to build and purse their aspirations and are eager to positively contribute to their communities.  </w:t>
      </w:r>
    </w:p>
    <w:p w14:paraId="4FAF111E" w14:textId="77777777" w:rsidR="00B519FB" w:rsidRPr="009F741F" w:rsidRDefault="7CD44D6E" w:rsidP="000621AD">
      <w:pPr>
        <w:jc w:val="both"/>
        <w:textAlignment w:val="baseline"/>
      </w:pPr>
      <w:r>
        <w:t>In order to respond to this situation, the NRC Youth Programme in Jordan supports young people gain skills and build relationships to pursue a variety of pathways including social engagement and volunteering, livelihoods, and further study. </w:t>
      </w:r>
    </w:p>
    <w:p w14:paraId="0A308358" w14:textId="77777777" w:rsidR="00B519FB" w:rsidRPr="009F741F" w:rsidRDefault="7CD44D6E" w:rsidP="000621AD">
      <w:pPr>
        <w:jc w:val="both"/>
        <w:textAlignment w:val="baseline"/>
      </w:pPr>
      <w:r>
        <w:t xml:space="preserve">As of January 2020, there are 123,260 Syrian refugees in Azraq and Zatari camps, of which 29,959 are aged 15 to 32 in Zatari and 8,492 in Azraq. The last external evaluation of programme underwent took place in 2015 and there have been major contextual and programmatic changes since. Changes include for example the establishment of an additional centre in Azraq camp as well as the easing of regulations on work permits and HomeBased Businesses. There have also been some significant structural developments to the programme, including the redesign of learning pathways, the introduction of more advanced learning levels, the introduction of certification and the establishment of new partnerships. </w:t>
      </w:r>
      <w:r w:rsidR="7E9ECF3B">
        <w:t xml:space="preserve">The youth centres were established with funding from the Norwegian Ministry of Foreign Affairs </w:t>
      </w:r>
      <w:r w:rsidR="47B46EB2">
        <w:t xml:space="preserve">(NMFA) </w:t>
      </w:r>
      <w:r w:rsidR="7E9ECF3B">
        <w:t>and the Swedi</w:t>
      </w:r>
      <w:r w:rsidR="7B062B66">
        <w:t xml:space="preserve">sh International Development Cooperation Agency </w:t>
      </w:r>
      <w:r w:rsidR="741DCF03">
        <w:t xml:space="preserve">(SIDA) </w:t>
      </w:r>
      <w:r w:rsidR="7B062B66">
        <w:t xml:space="preserve">and are funded by </w:t>
      </w:r>
      <w:r w:rsidR="5E3E31E9">
        <w:t>NMFA, SIDA and UNICEF.</w:t>
      </w:r>
    </w:p>
    <w:p w14:paraId="022B7979" w14:textId="77777777" w:rsidR="00B519FB" w:rsidRDefault="006D50B5" w:rsidP="000621AD">
      <w:pPr>
        <w:jc w:val="both"/>
        <w:textAlignment w:val="baseline"/>
      </w:pPr>
      <w:r>
        <w:t>The evaluation aims to</w:t>
      </w:r>
      <w:r w:rsidR="00B519FB" w:rsidRPr="009F741F">
        <w:t xml:space="preserve"> learn more about the</w:t>
      </w:r>
      <w:r>
        <w:t xml:space="preserve"> impact of the current programme on young people</w:t>
      </w:r>
      <w:r w:rsidR="00B519FB" w:rsidRPr="009F741F">
        <w:t xml:space="preserve"> as well as the effectiveness and relevance of activities given the </w:t>
      </w:r>
      <w:r w:rsidR="00B519FB" w:rsidRPr="00410223">
        <w:t>contextual</w:t>
      </w:r>
      <w:r w:rsidR="00B519FB" w:rsidRPr="009F741F">
        <w:t xml:space="preserve"> changes in the c</w:t>
      </w:r>
      <w:r w:rsidR="001D257E">
        <w:t>amps. This learning will</w:t>
      </w:r>
      <w:r w:rsidR="00B519FB" w:rsidRPr="009F741F">
        <w:t xml:space="preserve"> contribute to shaping the upcoming multi-year Core </w:t>
      </w:r>
      <w:r w:rsidR="00B519FB" w:rsidRPr="00410223">
        <w:t>Competency</w:t>
      </w:r>
      <w:r w:rsidR="00B519FB" w:rsidRPr="009F741F">
        <w:t xml:space="preserve"> strategy that the team will design in </w:t>
      </w:r>
      <w:r w:rsidR="001D257E">
        <w:t xml:space="preserve">Q3 of </w:t>
      </w:r>
      <w:r w:rsidR="00B519FB" w:rsidRPr="009F741F">
        <w:t xml:space="preserve">2020.  </w:t>
      </w:r>
    </w:p>
    <w:p w14:paraId="58DFDAC4" w14:textId="77777777" w:rsidR="000B7CD4" w:rsidRDefault="000B7CD4" w:rsidP="000621AD">
      <w:pPr>
        <w:jc w:val="both"/>
        <w:textAlignment w:val="baseline"/>
      </w:pPr>
    </w:p>
    <w:p w14:paraId="1ED879CF" w14:textId="77777777" w:rsidR="000B7CD4" w:rsidRPr="009F741F" w:rsidRDefault="000B7CD4" w:rsidP="000621AD">
      <w:pPr>
        <w:jc w:val="both"/>
        <w:textAlignment w:val="baseline"/>
      </w:pPr>
    </w:p>
    <w:p w14:paraId="71C5B431" w14:textId="77777777" w:rsidR="00F4071B" w:rsidRPr="00EF76E4" w:rsidRDefault="00F4071B" w:rsidP="00EF76E4">
      <w:pPr>
        <w:rPr>
          <w:rFonts w:cstheme="minorHAnsi"/>
          <w:b/>
        </w:rPr>
      </w:pPr>
      <w:r>
        <w:rPr>
          <w:rFonts w:cstheme="minorHAnsi"/>
          <w:b/>
        </w:rPr>
        <w:lastRenderedPageBreak/>
        <w:t>2. Objectives and scope of work</w:t>
      </w:r>
    </w:p>
    <w:p w14:paraId="489EAC45" w14:textId="77777777" w:rsidR="00F4071B" w:rsidRPr="008C1AFD" w:rsidRDefault="00F4071B" w:rsidP="00F4071B">
      <w:pPr>
        <w:rPr>
          <w:rFonts w:cstheme="minorHAnsi"/>
          <w:b/>
        </w:rPr>
      </w:pPr>
      <w:r w:rsidRPr="008C1AFD">
        <w:rPr>
          <w:rFonts w:cstheme="minorHAnsi"/>
          <w:b/>
        </w:rPr>
        <w:t>Objectives</w:t>
      </w:r>
    </w:p>
    <w:p w14:paraId="0A439F46" w14:textId="77777777" w:rsidR="00683812" w:rsidRDefault="00683812" w:rsidP="000621AD">
      <w:pPr>
        <w:jc w:val="both"/>
      </w:pPr>
      <w:r>
        <w:t xml:space="preserve">The main purpose of the evaluation is to support </w:t>
      </w:r>
      <w:r w:rsidR="001D257E">
        <w:t xml:space="preserve">programme </w:t>
      </w:r>
      <w:r>
        <w:t>learning and provide guidance for future programme direction</w:t>
      </w:r>
      <w:r w:rsidR="001D257E">
        <w:t xml:space="preserve"> and strategy at the Jordan level and to feed into global programme development for adolescents and youth more widely in NRC</w:t>
      </w:r>
      <w:r>
        <w:t>. In addition, the evaluation should be an opportunity for NRC to be accountable to beneficiaries, partners and donors</w:t>
      </w:r>
      <w:r w:rsidR="001D257E">
        <w:t xml:space="preserve">. </w:t>
      </w:r>
    </w:p>
    <w:p w14:paraId="5F41E97D" w14:textId="77777777" w:rsidR="00DF476F" w:rsidRDefault="00683812" w:rsidP="000621AD">
      <w:pPr>
        <w:jc w:val="both"/>
      </w:pPr>
      <w:r>
        <w:t>The primary user of the evaluation is the</w:t>
      </w:r>
      <w:r w:rsidR="00A92BF5">
        <w:t xml:space="preserve"> programme</w:t>
      </w:r>
      <w:r w:rsidR="001D257E">
        <w:t xml:space="preserve"> and management team in Jordan </w:t>
      </w:r>
      <w:r w:rsidR="00A92BF5">
        <w:t>who will directly utilise the evaluation findings to adjust programme implementation, improve quality and to guide the future direction of the Programme. Findings will be shared with young people and community members, who will also be part of the programmatic response.  I</w:t>
      </w:r>
      <w:r w:rsidR="001D257E">
        <w:t>n addition</w:t>
      </w:r>
      <w:r w:rsidR="00A92BF5">
        <w:t>,</w:t>
      </w:r>
      <w:r w:rsidR="001D257E">
        <w:t xml:space="preserve"> the </w:t>
      </w:r>
      <w:r w:rsidR="00A92BF5">
        <w:t>Education and Livelihoods Core Competency teams</w:t>
      </w:r>
      <w:r>
        <w:t xml:space="preserve"> in HO</w:t>
      </w:r>
      <w:r w:rsidR="00A92BF5">
        <w:t xml:space="preserve"> may use the findings</w:t>
      </w:r>
      <w:r>
        <w:t xml:space="preserve"> to inform and feed </w:t>
      </w:r>
      <w:r w:rsidR="00A92BF5">
        <w:t xml:space="preserve">into </w:t>
      </w:r>
      <w:r>
        <w:t xml:space="preserve">ongoing global and national </w:t>
      </w:r>
      <w:r w:rsidR="00A92BF5">
        <w:t xml:space="preserve">youth </w:t>
      </w:r>
      <w:r>
        <w:t>program</w:t>
      </w:r>
      <w:r w:rsidR="00A92BF5">
        <w:t>me development</w:t>
      </w:r>
      <w:r>
        <w:t xml:space="preserve">. </w:t>
      </w:r>
    </w:p>
    <w:p w14:paraId="7EA74EED" w14:textId="77777777" w:rsidR="00683812" w:rsidRDefault="00683812" w:rsidP="000621AD">
      <w:pPr>
        <w:jc w:val="both"/>
      </w:pPr>
      <w:r>
        <w:t xml:space="preserve">Secondary users include the MERO regional office and NRC Education Staff in the region. Tertiary users include partners, donors, and other stakeholders. The findings and conclusions of the evaluation </w:t>
      </w:r>
      <w:r w:rsidR="00DF476F">
        <w:t>will be</w:t>
      </w:r>
      <w:r>
        <w:t xml:space="preserve"> shared with these actors. </w:t>
      </w:r>
    </w:p>
    <w:p w14:paraId="738BD73A" w14:textId="77777777" w:rsidR="00F4071B" w:rsidRPr="008C1AFD" w:rsidRDefault="00F4071B" w:rsidP="000621AD">
      <w:pPr>
        <w:jc w:val="both"/>
        <w:rPr>
          <w:rFonts w:cstheme="minorHAnsi"/>
          <w:b/>
        </w:rPr>
      </w:pPr>
      <w:r w:rsidRPr="008C1AFD">
        <w:rPr>
          <w:rFonts w:cstheme="minorHAnsi"/>
          <w:b/>
        </w:rPr>
        <w:t>Scope of work</w:t>
      </w:r>
    </w:p>
    <w:p w14:paraId="56CCB318" w14:textId="77777777" w:rsidR="00DF476F" w:rsidRDefault="00A92BF5" w:rsidP="000B7CD4">
      <w:pPr>
        <w:jc w:val="both"/>
        <w:rPr>
          <w:lang w:eastAsia="en-GB"/>
        </w:rPr>
      </w:pPr>
      <w:r w:rsidRPr="25027DAB">
        <w:rPr>
          <w:lang w:eastAsia="en-GB"/>
        </w:rPr>
        <w:t>The work will evaluate</w:t>
      </w:r>
      <w:r w:rsidR="00DF476F" w:rsidRPr="25027DAB">
        <w:rPr>
          <w:lang w:eastAsia="en-GB"/>
        </w:rPr>
        <w:t xml:space="preserve"> the youth </w:t>
      </w:r>
      <w:r w:rsidR="000B7CD4">
        <w:rPr>
          <w:lang w:eastAsia="en-GB"/>
        </w:rPr>
        <w:t>has</w:t>
      </w:r>
      <w:r w:rsidR="00DF476F" w:rsidRPr="25027DAB">
        <w:rPr>
          <w:lang w:eastAsia="en-GB"/>
        </w:rPr>
        <w:t xml:space="preserve"> in support of Syrian refugee youth, which has been implemented in Za’atari since early 2013, and Azraq since early 2015. The evaluation will focus</w:t>
      </w:r>
      <w:r w:rsidRPr="25027DAB">
        <w:rPr>
          <w:lang w:eastAsia="en-GB"/>
        </w:rPr>
        <w:t xml:space="preserve"> on the period between Jan. 2019 – to date</w:t>
      </w:r>
      <w:r w:rsidR="367C4E7F" w:rsidRPr="25027DAB">
        <w:rPr>
          <w:lang w:eastAsia="en-GB"/>
        </w:rPr>
        <w:t xml:space="preserve"> and will employ qualitative and participatory methodologies.</w:t>
      </w:r>
    </w:p>
    <w:p w14:paraId="05FF96A2" w14:textId="77777777" w:rsidR="00DF476F" w:rsidRPr="001570DF" w:rsidRDefault="00DF476F" w:rsidP="00DF476F">
      <w:pPr>
        <w:rPr>
          <w:b/>
          <w:bCs/>
          <w:lang w:eastAsia="en-GB"/>
        </w:rPr>
      </w:pPr>
      <w:r w:rsidRPr="001570DF">
        <w:rPr>
          <w:b/>
          <w:bCs/>
          <w:lang w:eastAsia="en-GB"/>
        </w:rPr>
        <w:t xml:space="preserve">Lines of Inquiry </w:t>
      </w:r>
    </w:p>
    <w:p w14:paraId="39428271" w14:textId="77777777" w:rsidR="00DF476F" w:rsidRDefault="00DF476F" w:rsidP="000621AD">
      <w:pPr>
        <w:jc w:val="both"/>
        <w:rPr>
          <w:lang w:eastAsia="en-GB"/>
        </w:rPr>
      </w:pPr>
      <w:r>
        <w:rPr>
          <w:lang w:eastAsia="en-GB"/>
        </w:rPr>
        <w:t xml:space="preserve">The evaluation will look to answer the following questions: </w:t>
      </w:r>
    </w:p>
    <w:p w14:paraId="47930EBA" w14:textId="77777777" w:rsidR="00DF476F" w:rsidRPr="001570DF" w:rsidRDefault="00DF476F" w:rsidP="000621AD">
      <w:pPr>
        <w:pStyle w:val="ListParagraph"/>
        <w:numPr>
          <w:ilvl w:val="0"/>
          <w:numId w:val="13"/>
        </w:numPr>
        <w:jc w:val="both"/>
        <w:rPr>
          <w:lang w:eastAsia="en-GB"/>
        </w:rPr>
      </w:pPr>
      <w:r w:rsidRPr="001570DF">
        <w:rPr>
          <w:lang w:eastAsia="en-GB"/>
        </w:rPr>
        <w:t>To what extent is the current programme design and implementation appropriate to the needs of Syrian refugee youth in the context of Azraq and Z</w:t>
      </w:r>
      <w:r w:rsidR="009B5434">
        <w:rPr>
          <w:lang w:eastAsia="en-GB"/>
        </w:rPr>
        <w:t>a</w:t>
      </w:r>
      <w:r w:rsidRPr="001570DF">
        <w:rPr>
          <w:lang w:eastAsia="en-GB"/>
        </w:rPr>
        <w:t xml:space="preserve">atari camps in </w:t>
      </w:r>
      <w:r w:rsidR="0019452C" w:rsidRPr="001570DF">
        <w:rPr>
          <w:lang w:eastAsia="en-GB"/>
        </w:rPr>
        <w:t>Jordan?</w:t>
      </w:r>
    </w:p>
    <w:p w14:paraId="6FA8E210" w14:textId="77777777" w:rsidR="00DF476F" w:rsidRPr="001570DF" w:rsidRDefault="00DF476F" w:rsidP="000621AD">
      <w:pPr>
        <w:pStyle w:val="ListParagraph"/>
        <w:numPr>
          <w:ilvl w:val="0"/>
          <w:numId w:val="13"/>
        </w:numPr>
        <w:jc w:val="both"/>
        <w:rPr>
          <w:lang w:eastAsia="en-GB"/>
        </w:rPr>
      </w:pPr>
      <w:r w:rsidRPr="001570DF">
        <w:rPr>
          <w:lang w:eastAsia="en-GB"/>
        </w:rPr>
        <w:t xml:space="preserve">Is the programme perceived to be relevant by young people and communities </w:t>
      </w:r>
      <w:r w:rsidR="00C34EB6">
        <w:rPr>
          <w:lang w:eastAsia="en-GB"/>
        </w:rPr>
        <w:t>in Azra</w:t>
      </w:r>
      <w:r w:rsidRPr="001570DF">
        <w:rPr>
          <w:lang w:eastAsia="en-GB"/>
        </w:rPr>
        <w:t>q and Za</w:t>
      </w:r>
      <w:r w:rsidR="009B5434">
        <w:rPr>
          <w:lang w:eastAsia="en-GB"/>
        </w:rPr>
        <w:t>atari camps in Jordan?</w:t>
      </w:r>
    </w:p>
    <w:p w14:paraId="3CF5809D" w14:textId="77777777" w:rsidR="00DF476F" w:rsidRDefault="41BDD1D4" w:rsidP="000621AD">
      <w:pPr>
        <w:pStyle w:val="ListParagraph"/>
        <w:numPr>
          <w:ilvl w:val="0"/>
          <w:numId w:val="13"/>
        </w:numPr>
        <w:jc w:val="both"/>
        <w:rPr>
          <w:lang w:eastAsia="en-GB"/>
        </w:rPr>
      </w:pPr>
      <w:r w:rsidRPr="3561BD5C">
        <w:rPr>
          <w:lang w:eastAsia="en-GB"/>
        </w:rPr>
        <w:t xml:space="preserve">Is the programme reaching the right people </w:t>
      </w:r>
      <w:r w:rsidR="7D682756" w:rsidRPr="3561BD5C">
        <w:rPr>
          <w:lang w:eastAsia="en-GB"/>
        </w:rPr>
        <w:t>in response</w:t>
      </w:r>
      <w:r w:rsidRPr="3561BD5C">
        <w:rPr>
          <w:lang w:eastAsia="en-GB"/>
        </w:rPr>
        <w:t xml:space="preserve"> to inclusion, gender, and disability</w:t>
      </w:r>
      <w:r w:rsidR="3BC366A6" w:rsidRPr="3561BD5C">
        <w:rPr>
          <w:lang w:eastAsia="en-GB"/>
        </w:rPr>
        <w:t xml:space="preserve"> needs</w:t>
      </w:r>
      <w:r w:rsidRPr="3561BD5C">
        <w:rPr>
          <w:lang w:eastAsia="en-GB"/>
        </w:rPr>
        <w:t xml:space="preserve">? </w:t>
      </w:r>
    </w:p>
    <w:p w14:paraId="3153EA2B" w14:textId="77777777" w:rsidR="00DF476F" w:rsidRPr="001570DF" w:rsidRDefault="00DF476F" w:rsidP="000621AD">
      <w:pPr>
        <w:pStyle w:val="ListParagraph"/>
        <w:numPr>
          <w:ilvl w:val="0"/>
          <w:numId w:val="13"/>
        </w:numPr>
        <w:jc w:val="both"/>
        <w:rPr>
          <w:lang w:eastAsia="en-GB"/>
        </w:rPr>
      </w:pPr>
      <w:r w:rsidRPr="001570DF">
        <w:rPr>
          <w:lang w:eastAsia="en-GB"/>
        </w:rPr>
        <w:t xml:space="preserve">Does the programme strategy and theory of change reflect actual impact and outcomes on the ground?  </w:t>
      </w:r>
    </w:p>
    <w:p w14:paraId="7B4B3302" w14:textId="77777777" w:rsidR="00DF476F" w:rsidRPr="001570DF" w:rsidRDefault="00DF476F" w:rsidP="000621AD">
      <w:pPr>
        <w:pStyle w:val="ListParagraph"/>
        <w:numPr>
          <w:ilvl w:val="0"/>
          <w:numId w:val="13"/>
        </w:numPr>
        <w:jc w:val="both"/>
        <w:rPr>
          <w:lang w:eastAsia="en-GB"/>
        </w:rPr>
      </w:pPr>
      <w:r w:rsidRPr="001570DF">
        <w:rPr>
          <w:lang w:eastAsia="en-GB"/>
        </w:rPr>
        <w:t xml:space="preserve">How has the Programme improved the lives of young people, local community volunteers, and the broader community? </w:t>
      </w:r>
    </w:p>
    <w:p w14:paraId="0EF0C732" w14:textId="77777777" w:rsidR="00DF476F" w:rsidRPr="001570DF" w:rsidRDefault="00DF476F" w:rsidP="000621AD">
      <w:pPr>
        <w:pStyle w:val="ListParagraph"/>
        <w:numPr>
          <w:ilvl w:val="0"/>
          <w:numId w:val="13"/>
        </w:numPr>
        <w:jc w:val="both"/>
        <w:rPr>
          <w:lang w:eastAsia="en-GB"/>
        </w:rPr>
      </w:pPr>
      <w:r w:rsidRPr="001570DF">
        <w:rPr>
          <w:lang w:eastAsia="en-GB"/>
        </w:rPr>
        <w:t xml:space="preserve">To what extent is the Level 3 component of the programme a viable and scalable approach, and what is the potential for cost recovery? </w:t>
      </w:r>
    </w:p>
    <w:p w14:paraId="46167931" w14:textId="77777777" w:rsidR="00DF476F" w:rsidRPr="001570DF" w:rsidRDefault="00DF476F" w:rsidP="000621AD">
      <w:pPr>
        <w:pStyle w:val="ListParagraph"/>
        <w:numPr>
          <w:ilvl w:val="0"/>
          <w:numId w:val="13"/>
        </w:numPr>
        <w:jc w:val="both"/>
        <w:rPr>
          <w:lang w:eastAsia="en-GB"/>
        </w:rPr>
      </w:pPr>
      <w:r w:rsidRPr="001570DF">
        <w:rPr>
          <w:lang w:eastAsia="en-GB"/>
        </w:rPr>
        <w:t>Does the programme strategy include relevant and adequate sustainability measures?</w:t>
      </w:r>
    </w:p>
    <w:p w14:paraId="67343732" w14:textId="77777777" w:rsidR="00DF476F" w:rsidRPr="001570DF" w:rsidRDefault="00DF476F" w:rsidP="000621AD">
      <w:pPr>
        <w:pStyle w:val="ListParagraph"/>
        <w:numPr>
          <w:ilvl w:val="0"/>
          <w:numId w:val="13"/>
        </w:numPr>
        <w:jc w:val="both"/>
        <w:rPr>
          <w:lang w:eastAsia="en-GB"/>
        </w:rPr>
      </w:pPr>
      <w:r w:rsidRPr="001570DF">
        <w:rPr>
          <w:lang w:eastAsia="en-GB"/>
        </w:rPr>
        <w:t>Do young people feel they have a space to voice their opinion within the programme, and how could youth participation be improved?</w:t>
      </w:r>
    </w:p>
    <w:p w14:paraId="593676AB" w14:textId="77777777" w:rsidR="00DF476F" w:rsidRPr="001570DF" w:rsidRDefault="00DF476F" w:rsidP="000621AD">
      <w:pPr>
        <w:pStyle w:val="ListParagraph"/>
        <w:numPr>
          <w:ilvl w:val="0"/>
          <w:numId w:val="13"/>
        </w:numPr>
        <w:jc w:val="both"/>
        <w:rPr>
          <w:lang w:eastAsia="en-GB"/>
        </w:rPr>
      </w:pPr>
      <w:r>
        <w:rPr>
          <w:lang w:eastAsia="en-GB"/>
        </w:rPr>
        <w:t>What value have partnerships</w:t>
      </w:r>
      <w:r w:rsidR="00DD1BC5">
        <w:rPr>
          <w:lang w:eastAsia="en-GB"/>
        </w:rPr>
        <w:t xml:space="preserve"> added</w:t>
      </w:r>
      <w:r w:rsidR="009B5434">
        <w:rPr>
          <w:lang w:eastAsia="en-GB"/>
        </w:rPr>
        <w:t xml:space="preserve"> to the programme</w:t>
      </w:r>
      <w:r>
        <w:rPr>
          <w:lang w:eastAsia="en-GB"/>
        </w:rPr>
        <w:t xml:space="preserve"> and what are some principles of good partnerships?</w:t>
      </w:r>
    </w:p>
    <w:p w14:paraId="1973617B" w14:textId="77777777" w:rsidR="009B5434" w:rsidRDefault="00DF476F" w:rsidP="000621AD">
      <w:pPr>
        <w:pStyle w:val="ListParagraph"/>
        <w:numPr>
          <w:ilvl w:val="0"/>
          <w:numId w:val="13"/>
        </w:numPr>
        <w:jc w:val="both"/>
        <w:rPr>
          <w:lang w:eastAsia="en-GB"/>
        </w:rPr>
      </w:pPr>
      <w:r w:rsidRPr="001570DF">
        <w:rPr>
          <w:lang w:eastAsia="en-GB"/>
        </w:rPr>
        <w:t>What has been the role of advocacy, coordination</w:t>
      </w:r>
      <w:r w:rsidR="000B7CD4">
        <w:rPr>
          <w:lang w:eastAsia="en-GB"/>
        </w:rPr>
        <w:t>,</w:t>
      </w:r>
      <w:r w:rsidRPr="001570DF">
        <w:rPr>
          <w:lang w:eastAsia="en-GB"/>
        </w:rPr>
        <w:t xml:space="preserve"> and representation in the programme and how can it be improved?</w:t>
      </w:r>
    </w:p>
    <w:p w14:paraId="7A6F599D" w14:textId="77777777" w:rsidR="009B5434" w:rsidRPr="001570DF" w:rsidRDefault="009B5434" w:rsidP="000621AD">
      <w:pPr>
        <w:jc w:val="both"/>
        <w:rPr>
          <w:lang w:eastAsia="en-GB"/>
        </w:rPr>
      </w:pPr>
      <w:r w:rsidRPr="25027DAB">
        <w:rPr>
          <w:lang w:eastAsia="en-GB"/>
        </w:rPr>
        <w:t>It is anticipated that the questions and sub-questions would be further refined by the consultant in collaboration with NRC upon commencing the consultancy.</w:t>
      </w:r>
    </w:p>
    <w:p w14:paraId="1CCDC324" w14:textId="77777777" w:rsidR="00F00A7F" w:rsidRDefault="00F00A7F" w:rsidP="00F00A7F">
      <w:pPr>
        <w:spacing w:after="200" w:line="276" w:lineRule="auto"/>
        <w:jc w:val="both"/>
        <w:rPr>
          <w:rFonts w:cs="Calibri"/>
          <w:b/>
          <w:bCs/>
          <w:szCs w:val="20"/>
        </w:rPr>
      </w:pPr>
      <w:r w:rsidRPr="003452DE">
        <w:rPr>
          <w:rFonts w:cs="Calibri"/>
          <w:b/>
          <w:bCs/>
          <w:szCs w:val="20"/>
        </w:rPr>
        <w:t>Outputs/Deliverables:</w:t>
      </w:r>
    </w:p>
    <w:p w14:paraId="1CC3ED29" w14:textId="77777777" w:rsidR="00B7561D" w:rsidRDefault="008D337A" w:rsidP="000B7CD4">
      <w:pPr>
        <w:jc w:val="both"/>
      </w:pPr>
      <w:r>
        <w:t xml:space="preserve">The work will take place over a period of approximately </w:t>
      </w:r>
      <w:r w:rsidR="10EE90B5">
        <w:t>4</w:t>
      </w:r>
      <w:r>
        <w:t xml:space="preserve"> months</w:t>
      </w:r>
      <w:r w:rsidR="000B7CD4">
        <w:t>,</w:t>
      </w:r>
      <w:r>
        <w:t xml:space="preserve"> including </w:t>
      </w:r>
      <w:r w:rsidR="66A88E35">
        <w:t>59</w:t>
      </w:r>
      <w:r w:rsidR="00B7561D">
        <w:t xml:space="preserve"> working days</w:t>
      </w:r>
      <w:r>
        <w:t xml:space="preserve"> for the consultant. </w:t>
      </w:r>
      <w:r w:rsidR="4B3120EB">
        <w:t>An additional 20 days</w:t>
      </w:r>
      <w:r>
        <w:t xml:space="preserve"> are </w:t>
      </w:r>
      <w:r w:rsidR="00B7561D">
        <w:t xml:space="preserve">scheduled </w:t>
      </w:r>
      <w:r>
        <w:t>throughout the period for NRC review of deliverables</w:t>
      </w:r>
      <w:r w:rsidR="00B7561D">
        <w:t>. The consultant</w:t>
      </w:r>
      <w:r w:rsidR="009B5434">
        <w:t xml:space="preserve"> if free</w:t>
      </w:r>
      <w:r>
        <w:t xml:space="preserve"> to</w:t>
      </w:r>
      <w:r w:rsidR="009B5434">
        <w:t xml:space="preserve"> </w:t>
      </w:r>
      <w:r w:rsidR="00B7561D">
        <w:t xml:space="preserve">undertake this work </w:t>
      </w:r>
      <w:r w:rsidR="009B5434">
        <w:t>on days of their choosing but field</w:t>
      </w:r>
      <w:r w:rsidR="000B7CD4">
        <w:t>-</w:t>
      </w:r>
      <w:r w:rsidR="009B5434">
        <w:t xml:space="preserve">work should take place on </w:t>
      </w:r>
      <w:r w:rsidR="009B5434">
        <w:lastRenderedPageBreak/>
        <w:t>Jordanian working days (</w:t>
      </w:r>
      <w:r w:rsidR="00B7561D">
        <w:t xml:space="preserve">Sun – Thurs) </w:t>
      </w:r>
      <w:r w:rsidR="009B5434">
        <w:t xml:space="preserve">and coordination calls and discussions with the Jordan team would also need to be scheduled during the Sun – Thurs working week. </w:t>
      </w:r>
    </w:p>
    <w:p w14:paraId="236DF066" w14:textId="77777777" w:rsidR="00B7561D" w:rsidRDefault="34DA18C8" w:rsidP="000621AD">
      <w:pPr>
        <w:jc w:val="both"/>
      </w:pPr>
      <w:r w:rsidRPr="000B7CD4">
        <w:rPr>
          <w:b/>
          <w:bCs/>
        </w:rPr>
        <w:t xml:space="preserve">All the outputs should be delivered by </w:t>
      </w:r>
      <w:r w:rsidR="6750CDA9" w:rsidRPr="000B7CD4">
        <w:rPr>
          <w:b/>
          <w:bCs/>
        </w:rPr>
        <w:t>J</w:t>
      </w:r>
      <w:r w:rsidR="5D2A3FED" w:rsidRPr="000B7CD4">
        <w:rPr>
          <w:b/>
          <w:bCs/>
        </w:rPr>
        <w:t>uly</w:t>
      </w:r>
      <w:r w:rsidRPr="000B7CD4">
        <w:rPr>
          <w:b/>
          <w:bCs/>
        </w:rPr>
        <w:t xml:space="preserve"> 2020</w:t>
      </w:r>
      <w:r>
        <w:t>. An exact timeframe can be established once the consultant/s are selected.</w:t>
      </w:r>
    </w:p>
    <w:p w14:paraId="4BAC3CDD" w14:textId="77777777" w:rsidR="00B7561D" w:rsidRPr="003452DE" w:rsidRDefault="00B7561D" w:rsidP="00F00A7F">
      <w:pPr>
        <w:spacing w:after="200" w:line="276" w:lineRule="auto"/>
        <w:jc w:val="both"/>
        <w:rPr>
          <w:rFonts w:cs="Calibri"/>
          <w:b/>
          <w:bCs/>
          <w:szCs w:val="20"/>
        </w:rPr>
      </w:pPr>
    </w:p>
    <w:p w14:paraId="29A7D2E3" w14:textId="77777777" w:rsidR="00F00A7F" w:rsidRPr="000B7CD4" w:rsidRDefault="00F00A7F" w:rsidP="000B7CD4">
      <w:pPr>
        <w:spacing w:after="200" w:line="276" w:lineRule="auto"/>
        <w:jc w:val="both"/>
        <w:rPr>
          <w:rFonts w:cs="Calibri"/>
          <w:b/>
          <w:bCs/>
          <w:szCs w:val="20"/>
        </w:rPr>
      </w:pPr>
      <w:r w:rsidRPr="000B7CD4">
        <w:rPr>
          <w:rFonts w:cs="Calibri"/>
          <w:b/>
          <w:bCs/>
          <w:szCs w:val="20"/>
        </w:rPr>
        <w:t>PROGRESS PLAN</w:t>
      </w:r>
      <w:r w:rsidR="000B7CD4">
        <w:rPr>
          <w:rFonts w:cs="Calibri"/>
          <w:b/>
          <w:bCs/>
          <w:szCs w:val="20"/>
        </w:rPr>
        <w:t>:</w:t>
      </w:r>
    </w:p>
    <w:p w14:paraId="265217D2" w14:textId="77777777" w:rsidR="00F00A7F" w:rsidRPr="002D36FA" w:rsidRDefault="00F00A7F" w:rsidP="1E627BB5">
      <w:pPr>
        <w:jc w:val="both"/>
        <w:rPr>
          <w:rFonts w:cs="Calibri"/>
        </w:rPr>
      </w:pPr>
      <w:r w:rsidRPr="1E627BB5">
        <w:rPr>
          <w:rFonts w:cs="Calibri"/>
        </w:rPr>
        <w:t>Progress plan with milestones and delivery dates – note that the consultant will be expected to refine the work plan</w:t>
      </w:r>
      <w:r w:rsidR="008D337A" w:rsidRPr="1E627BB5">
        <w:rPr>
          <w:rFonts w:cs="Calibri"/>
        </w:rPr>
        <w:t xml:space="preserve"> </w:t>
      </w:r>
      <w:r w:rsidR="4F4D5991" w:rsidRPr="1E627BB5">
        <w:rPr>
          <w:rFonts w:cs="Calibri"/>
        </w:rPr>
        <w:t xml:space="preserve">to include actual dates </w:t>
      </w:r>
      <w:r w:rsidR="008D337A" w:rsidRPr="1E627BB5">
        <w:rPr>
          <w:rFonts w:cs="Calibri"/>
        </w:rPr>
        <w:t>upon commencing the assignment</w:t>
      </w:r>
      <w:r w:rsidRPr="1E627BB5">
        <w:rPr>
          <w:rFonts w:cs="Calibri"/>
        </w:rPr>
        <w:t xml:space="preserve">. </w:t>
      </w:r>
    </w:p>
    <w:tbl>
      <w:tblPr>
        <w:tblW w:w="0" w:type="auto"/>
        <w:jc w:val="center"/>
        <w:tblCellMar>
          <w:left w:w="0" w:type="dxa"/>
          <w:right w:w="0" w:type="dxa"/>
        </w:tblCellMar>
        <w:tblLook w:val="04A0" w:firstRow="1" w:lastRow="0" w:firstColumn="1" w:lastColumn="0" w:noHBand="0" w:noVBand="1"/>
      </w:tblPr>
      <w:tblGrid>
        <w:gridCol w:w="2142"/>
        <w:gridCol w:w="4341"/>
        <w:gridCol w:w="2525"/>
      </w:tblGrid>
      <w:tr w:rsidR="00C34EB6" w:rsidRPr="00BB26F5" w14:paraId="46258333" w14:textId="77777777" w:rsidTr="00136F9F">
        <w:trPr>
          <w:tblHeader/>
          <w:jc w:val="center"/>
        </w:trPr>
        <w:tc>
          <w:tcPr>
            <w:tcW w:w="0" w:type="auto"/>
            <w:tcBorders>
              <w:top w:val="single" w:sz="8" w:space="0" w:color="auto"/>
              <w:left w:val="single" w:sz="8" w:space="0" w:color="auto"/>
              <w:bottom w:val="single" w:sz="8" w:space="0" w:color="auto"/>
              <w:right w:val="single" w:sz="8" w:space="0" w:color="auto"/>
            </w:tcBorders>
            <w:shd w:val="clear" w:color="auto" w:fill="F79646"/>
          </w:tcPr>
          <w:p w14:paraId="3668A676" w14:textId="77777777" w:rsidR="00C34EB6" w:rsidRDefault="7B313F73" w:rsidP="00D7480E">
            <w:pPr>
              <w:spacing w:after="150" w:line="240" w:lineRule="auto"/>
              <w:jc w:val="center"/>
              <w:rPr>
                <w:rFonts w:ascii="Calibri" w:eastAsia="Times New Roman" w:hAnsi="Calibri" w:cs="Times New Roman"/>
                <w:b/>
                <w:bCs/>
                <w:sz w:val="24"/>
                <w:szCs w:val="24"/>
                <w:lang w:eastAsia="en-GB"/>
              </w:rPr>
            </w:pPr>
            <w:r w:rsidRPr="1E627BB5">
              <w:rPr>
                <w:rFonts w:ascii="Calibri" w:eastAsia="Times New Roman" w:hAnsi="Calibri" w:cs="Times New Roman"/>
                <w:b/>
                <w:bCs/>
                <w:sz w:val="24"/>
                <w:szCs w:val="24"/>
                <w:lang w:eastAsia="en-GB"/>
              </w:rPr>
              <w:t xml:space="preserve">Approximate </w:t>
            </w:r>
            <w:r w:rsidR="00C34EB6" w:rsidRPr="1E627BB5">
              <w:rPr>
                <w:rFonts w:ascii="Calibri" w:eastAsia="Times New Roman" w:hAnsi="Calibri" w:cs="Times New Roman"/>
                <w:b/>
                <w:bCs/>
                <w:sz w:val="24"/>
                <w:szCs w:val="24"/>
                <w:lang w:eastAsia="en-GB"/>
              </w:rPr>
              <w:t>Timeline and # days</w:t>
            </w:r>
          </w:p>
        </w:tc>
        <w:tc>
          <w:tcPr>
            <w:tcW w:w="0" w:type="auto"/>
            <w:tcBorders>
              <w:top w:val="single" w:sz="8" w:space="0" w:color="auto"/>
              <w:left w:val="single" w:sz="8" w:space="0" w:color="auto"/>
              <w:bottom w:val="single" w:sz="8" w:space="0" w:color="auto"/>
              <w:right w:val="single" w:sz="8" w:space="0" w:color="auto"/>
            </w:tcBorders>
            <w:shd w:val="clear" w:color="auto" w:fill="F79646"/>
            <w:tcMar>
              <w:top w:w="0" w:type="dxa"/>
              <w:left w:w="108" w:type="dxa"/>
              <w:bottom w:w="0" w:type="dxa"/>
              <w:right w:w="108" w:type="dxa"/>
            </w:tcMar>
            <w:vAlign w:val="center"/>
            <w:hideMark/>
          </w:tcPr>
          <w:p w14:paraId="67C6C82B" w14:textId="77777777" w:rsidR="00C34EB6" w:rsidRPr="00BB26F5" w:rsidRDefault="00C34EB6" w:rsidP="00D7480E">
            <w:pPr>
              <w:spacing w:after="150" w:line="240" w:lineRule="auto"/>
              <w:jc w:val="center"/>
              <w:rPr>
                <w:rFonts w:ascii="Times New Roman" w:eastAsia="Times New Roman" w:hAnsi="Times New Roman" w:cs="Times New Roman"/>
                <w:sz w:val="24"/>
                <w:szCs w:val="24"/>
                <w:lang w:eastAsia="en-GB"/>
              </w:rPr>
            </w:pPr>
            <w:r>
              <w:rPr>
                <w:rFonts w:ascii="Calibri" w:eastAsia="Times New Roman" w:hAnsi="Calibri" w:cs="Times New Roman"/>
                <w:b/>
                <w:bCs/>
                <w:sz w:val="24"/>
                <w:szCs w:val="24"/>
                <w:lang w:eastAsia="en-GB"/>
              </w:rPr>
              <w:t>Action</w:t>
            </w:r>
          </w:p>
        </w:tc>
        <w:tc>
          <w:tcPr>
            <w:tcW w:w="0" w:type="auto"/>
            <w:tcBorders>
              <w:top w:val="single" w:sz="6" w:space="0" w:color="auto"/>
              <w:left w:val="nil"/>
              <w:bottom w:val="single" w:sz="6" w:space="0" w:color="auto"/>
              <w:right w:val="single" w:sz="6" w:space="0" w:color="auto"/>
            </w:tcBorders>
            <w:shd w:val="clear" w:color="auto" w:fill="F79646"/>
            <w:tcMar>
              <w:top w:w="0" w:type="dxa"/>
              <w:left w:w="108" w:type="dxa"/>
              <w:bottom w:w="0" w:type="dxa"/>
              <w:right w:w="108" w:type="dxa"/>
            </w:tcMar>
            <w:vAlign w:val="center"/>
            <w:hideMark/>
          </w:tcPr>
          <w:p w14:paraId="4FFA0884" w14:textId="77777777" w:rsidR="00C34EB6" w:rsidRPr="00BB26F5" w:rsidRDefault="00C34EB6" w:rsidP="00166AEA">
            <w:pPr>
              <w:spacing w:after="150" w:line="240" w:lineRule="auto"/>
              <w:jc w:val="center"/>
              <w:rPr>
                <w:rFonts w:ascii="Times New Roman" w:eastAsia="Times New Roman" w:hAnsi="Times New Roman" w:cs="Times New Roman"/>
                <w:sz w:val="24"/>
                <w:szCs w:val="24"/>
                <w:lang w:eastAsia="en-GB"/>
              </w:rPr>
            </w:pPr>
            <w:r>
              <w:rPr>
                <w:rFonts w:ascii="Calibri" w:eastAsia="Times New Roman" w:hAnsi="Calibri" w:cs="Times New Roman"/>
                <w:b/>
                <w:bCs/>
                <w:sz w:val="24"/>
                <w:szCs w:val="24"/>
                <w:lang w:eastAsia="en-GB"/>
              </w:rPr>
              <w:t>Milestones</w:t>
            </w:r>
            <w:r w:rsidR="00166AEA">
              <w:rPr>
                <w:rFonts w:ascii="Calibri" w:eastAsia="Times New Roman" w:hAnsi="Calibri" w:cs="Times New Roman"/>
                <w:b/>
                <w:bCs/>
                <w:sz w:val="24"/>
                <w:szCs w:val="24"/>
                <w:lang w:eastAsia="en-GB"/>
              </w:rPr>
              <w:t xml:space="preserve"> / Output</w:t>
            </w:r>
          </w:p>
        </w:tc>
      </w:tr>
      <w:tr w:rsidR="00C34EB6" w:rsidRPr="00BB26F5" w14:paraId="5F0071F5" w14:textId="77777777" w:rsidTr="00136F9F">
        <w:trPr>
          <w:trHeight w:val="732"/>
          <w:jc w:val="center"/>
        </w:trPr>
        <w:tc>
          <w:tcPr>
            <w:tcW w:w="0" w:type="auto"/>
            <w:tcBorders>
              <w:top w:val="nil"/>
              <w:left w:val="single" w:sz="6" w:space="0" w:color="auto"/>
              <w:bottom w:val="single" w:sz="6" w:space="0" w:color="auto"/>
              <w:right w:val="single" w:sz="6" w:space="0" w:color="auto"/>
            </w:tcBorders>
          </w:tcPr>
          <w:p w14:paraId="28270DCD" w14:textId="77777777" w:rsidR="00C34EB6" w:rsidRDefault="00C34EB6" w:rsidP="00136F9F">
            <w:pPr>
              <w:spacing w:after="0" w:line="240" w:lineRule="auto"/>
              <w:jc w:val="both"/>
              <w:rPr>
                <w:rFonts w:eastAsia="Times New Roman" w:cs="Times New Roman"/>
                <w:lang w:eastAsia="en-GB"/>
              </w:rPr>
            </w:pPr>
          </w:p>
        </w:tc>
        <w:tc>
          <w:tcPr>
            <w:tcW w:w="0" w:type="auto"/>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p w14:paraId="7D4935E1" w14:textId="77777777" w:rsidR="00C34EB6" w:rsidRPr="00136F9F" w:rsidRDefault="00C34EB6" w:rsidP="000B7CD4">
            <w:pPr>
              <w:pStyle w:val="ListParagraph"/>
              <w:numPr>
                <w:ilvl w:val="0"/>
                <w:numId w:val="19"/>
              </w:numPr>
              <w:spacing w:after="0" w:line="240" w:lineRule="auto"/>
              <w:contextualSpacing/>
              <w:jc w:val="both"/>
              <w:rPr>
                <w:rFonts w:eastAsia="Times New Roman" w:cs="Times New Roman"/>
                <w:lang w:eastAsia="en-GB"/>
              </w:rPr>
            </w:pPr>
            <w:r w:rsidRPr="00136F9F">
              <w:rPr>
                <w:rFonts w:eastAsia="Times New Roman" w:cs="Times New Roman"/>
                <w:sz w:val="22"/>
                <w:lang w:eastAsia="en-GB"/>
              </w:rPr>
              <w:t xml:space="preserve">Briefing call </w:t>
            </w:r>
            <w:r w:rsidR="4FC38448" w:rsidRPr="00136F9F">
              <w:rPr>
                <w:rFonts w:eastAsia="Times New Roman" w:cs="Times New Roman"/>
                <w:sz w:val="22"/>
                <w:lang w:eastAsia="en-GB"/>
              </w:rPr>
              <w:t>(initial and post</w:t>
            </w:r>
            <w:r w:rsidR="000B7CD4">
              <w:rPr>
                <w:rFonts w:eastAsia="Times New Roman" w:cs="Times New Roman"/>
                <w:sz w:val="22"/>
                <w:lang w:eastAsia="en-GB"/>
              </w:rPr>
              <w:t>-</w:t>
            </w:r>
            <w:r w:rsidR="4FC38448" w:rsidRPr="00136F9F">
              <w:rPr>
                <w:rFonts w:eastAsia="Times New Roman" w:cs="Times New Roman"/>
                <w:sz w:val="22"/>
                <w:lang w:eastAsia="en-GB"/>
              </w:rPr>
              <w:t>desk-review)</w:t>
            </w:r>
          </w:p>
        </w:tc>
        <w:tc>
          <w:tcPr>
            <w:tcW w:w="0" w:type="auto"/>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tcPr>
          <w:p w14:paraId="7CA4F2B8" w14:textId="77777777" w:rsidR="00C34EB6" w:rsidRDefault="00C34EB6" w:rsidP="00136F9F">
            <w:pPr>
              <w:spacing w:after="0" w:line="240" w:lineRule="auto"/>
              <w:jc w:val="both"/>
              <w:rPr>
                <w:rFonts w:eastAsia="Times New Roman" w:cs="Times New Roman"/>
                <w:lang w:eastAsia="en-GB"/>
              </w:rPr>
            </w:pPr>
          </w:p>
        </w:tc>
      </w:tr>
      <w:tr w:rsidR="00C34EB6" w:rsidRPr="00BB26F5" w14:paraId="57DA0716" w14:textId="77777777" w:rsidTr="000B7CD4">
        <w:trPr>
          <w:trHeight w:val="732"/>
          <w:jc w:val="center"/>
        </w:trPr>
        <w:tc>
          <w:tcPr>
            <w:tcW w:w="0" w:type="auto"/>
            <w:tcBorders>
              <w:top w:val="nil"/>
              <w:left w:val="single" w:sz="6" w:space="0" w:color="auto"/>
              <w:bottom w:val="single" w:sz="6" w:space="0" w:color="auto"/>
              <w:right w:val="single" w:sz="6" w:space="0" w:color="auto"/>
            </w:tcBorders>
            <w:vAlign w:val="center"/>
          </w:tcPr>
          <w:p w14:paraId="2F209A3F" w14:textId="77777777" w:rsidR="00C34EB6" w:rsidRDefault="00C34EB6" w:rsidP="000B7CD4">
            <w:pPr>
              <w:spacing w:after="0" w:line="240" w:lineRule="auto"/>
              <w:rPr>
                <w:rFonts w:eastAsia="Times New Roman" w:cs="Times New Roman"/>
                <w:lang w:eastAsia="en-GB"/>
              </w:rPr>
            </w:pPr>
            <w:r>
              <w:rPr>
                <w:rFonts w:eastAsia="Times New Roman" w:cs="Times New Roman"/>
                <w:lang w:eastAsia="en-GB"/>
              </w:rPr>
              <w:t>15 days (Consultant)</w:t>
            </w:r>
          </w:p>
        </w:tc>
        <w:tc>
          <w:tcPr>
            <w:tcW w:w="0" w:type="auto"/>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p w14:paraId="10CA3F5A" w14:textId="77777777" w:rsidR="00C34EB6" w:rsidRDefault="394CB052" w:rsidP="00136F9F">
            <w:pPr>
              <w:pStyle w:val="ListParagraph"/>
              <w:numPr>
                <w:ilvl w:val="2"/>
                <w:numId w:val="14"/>
              </w:numPr>
              <w:spacing w:after="0" w:line="240" w:lineRule="auto"/>
              <w:contextualSpacing/>
              <w:jc w:val="both"/>
              <w:rPr>
                <w:rFonts w:eastAsia="Times New Roman" w:cs="Times New Roman"/>
                <w:lang w:eastAsia="en-GB"/>
              </w:rPr>
            </w:pPr>
            <w:r w:rsidRPr="25027DAB">
              <w:rPr>
                <w:rFonts w:eastAsia="Times New Roman" w:cs="Times New Roman"/>
                <w:lang w:eastAsia="en-GB"/>
              </w:rPr>
              <w:t>Desk review of existing documentation, development of draft inception report and tools.</w:t>
            </w:r>
          </w:p>
        </w:tc>
        <w:tc>
          <w:tcPr>
            <w:tcW w:w="0" w:type="auto"/>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tcPr>
          <w:p w14:paraId="39ED18B7" w14:textId="77777777" w:rsidR="00C34EB6" w:rsidRDefault="00166AEA" w:rsidP="00136F9F">
            <w:pPr>
              <w:spacing w:after="0" w:line="240" w:lineRule="auto"/>
              <w:jc w:val="both"/>
              <w:rPr>
                <w:rFonts w:eastAsia="Times New Roman" w:cs="Times New Roman"/>
                <w:lang w:eastAsia="en-GB"/>
              </w:rPr>
            </w:pPr>
            <w:r>
              <w:rPr>
                <w:rFonts w:eastAsia="Times New Roman" w:cs="Times New Roman"/>
                <w:lang w:eastAsia="en-GB"/>
              </w:rPr>
              <w:t>Submission of inception report and tools to NRC.</w:t>
            </w:r>
          </w:p>
        </w:tc>
      </w:tr>
      <w:tr w:rsidR="00C34EB6" w:rsidRPr="00BB26F5" w14:paraId="39625BD1" w14:textId="77777777" w:rsidTr="000B7CD4">
        <w:trPr>
          <w:trHeight w:val="732"/>
          <w:jc w:val="center"/>
        </w:trPr>
        <w:tc>
          <w:tcPr>
            <w:tcW w:w="0" w:type="auto"/>
            <w:tcBorders>
              <w:top w:val="nil"/>
              <w:left w:val="single" w:sz="6" w:space="0" w:color="auto"/>
              <w:bottom w:val="single" w:sz="6" w:space="0" w:color="auto"/>
              <w:right w:val="single" w:sz="6" w:space="0" w:color="auto"/>
            </w:tcBorders>
            <w:vAlign w:val="center"/>
          </w:tcPr>
          <w:p w14:paraId="624EB254" w14:textId="77777777" w:rsidR="00C34EB6" w:rsidRDefault="00C34EB6" w:rsidP="000B7CD4">
            <w:pPr>
              <w:spacing w:after="0" w:line="240" w:lineRule="auto"/>
              <w:rPr>
                <w:rFonts w:eastAsia="Times New Roman" w:cs="Times New Roman"/>
                <w:lang w:eastAsia="en-GB"/>
              </w:rPr>
            </w:pPr>
            <w:r>
              <w:rPr>
                <w:rFonts w:eastAsia="Times New Roman" w:cs="Times New Roman"/>
                <w:lang w:eastAsia="en-GB"/>
              </w:rPr>
              <w:t>5 days (NRC)</w:t>
            </w:r>
          </w:p>
        </w:tc>
        <w:tc>
          <w:tcPr>
            <w:tcW w:w="0" w:type="auto"/>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p w14:paraId="001C2A78" w14:textId="77777777" w:rsidR="00C34EB6" w:rsidRDefault="00C34EB6" w:rsidP="00136F9F">
            <w:pPr>
              <w:pStyle w:val="ListParagraph"/>
              <w:numPr>
                <w:ilvl w:val="2"/>
                <w:numId w:val="14"/>
              </w:numPr>
              <w:spacing w:after="0" w:line="240" w:lineRule="auto"/>
              <w:contextualSpacing/>
              <w:jc w:val="both"/>
              <w:rPr>
                <w:rFonts w:eastAsia="Times New Roman" w:cs="Times New Roman"/>
                <w:lang w:eastAsia="en-GB"/>
              </w:rPr>
            </w:pPr>
            <w:r>
              <w:rPr>
                <w:rFonts w:eastAsia="Times New Roman" w:cs="Times New Roman"/>
                <w:lang w:eastAsia="en-GB"/>
              </w:rPr>
              <w:t>NRC review and feedback</w:t>
            </w:r>
            <w:r w:rsidR="008D337A">
              <w:rPr>
                <w:rFonts w:eastAsia="Times New Roman" w:cs="Times New Roman"/>
                <w:lang w:eastAsia="en-GB"/>
              </w:rPr>
              <w:t xml:space="preserve"> on inception report and tools.</w:t>
            </w:r>
          </w:p>
        </w:tc>
        <w:tc>
          <w:tcPr>
            <w:tcW w:w="0" w:type="auto"/>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tcPr>
          <w:p w14:paraId="5395EAED" w14:textId="77777777" w:rsidR="00C34EB6" w:rsidRDefault="00C34EB6" w:rsidP="00136F9F">
            <w:pPr>
              <w:spacing w:after="0" w:line="240" w:lineRule="auto"/>
              <w:jc w:val="both"/>
              <w:rPr>
                <w:rFonts w:eastAsia="Times New Roman" w:cs="Times New Roman"/>
                <w:lang w:eastAsia="en-GB"/>
              </w:rPr>
            </w:pPr>
          </w:p>
        </w:tc>
      </w:tr>
      <w:tr w:rsidR="00C34EB6" w:rsidRPr="00BB26F5" w14:paraId="10EC1346" w14:textId="77777777" w:rsidTr="000B7CD4">
        <w:trPr>
          <w:trHeight w:val="732"/>
          <w:jc w:val="center"/>
        </w:trPr>
        <w:tc>
          <w:tcPr>
            <w:tcW w:w="0" w:type="auto"/>
            <w:tcBorders>
              <w:top w:val="nil"/>
              <w:left w:val="single" w:sz="6" w:space="0" w:color="auto"/>
              <w:bottom w:val="single" w:sz="6" w:space="0" w:color="auto"/>
              <w:right w:val="single" w:sz="6" w:space="0" w:color="auto"/>
            </w:tcBorders>
            <w:vAlign w:val="center"/>
          </w:tcPr>
          <w:p w14:paraId="0D69415D" w14:textId="77777777" w:rsidR="00C34EB6" w:rsidRDefault="00C34EB6" w:rsidP="000B7CD4">
            <w:pPr>
              <w:spacing w:after="0" w:line="240" w:lineRule="auto"/>
              <w:rPr>
                <w:rFonts w:eastAsia="Times New Roman" w:cs="Times New Roman"/>
                <w:lang w:eastAsia="en-GB"/>
              </w:rPr>
            </w:pPr>
            <w:r>
              <w:rPr>
                <w:rFonts w:eastAsia="Times New Roman" w:cs="Times New Roman"/>
                <w:lang w:eastAsia="en-GB"/>
              </w:rPr>
              <w:t>5 days (Consultant)</w:t>
            </w:r>
          </w:p>
        </w:tc>
        <w:tc>
          <w:tcPr>
            <w:tcW w:w="0" w:type="auto"/>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p w14:paraId="19FD377F" w14:textId="77777777" w:rsidR="00C34EB6" w:rsidRDefault="00C34EB6" w:rsidP="00136F9F">
            <w:pPr>
              <w:pStyle w:val="ListParagraph"/>
              <w:numPr>
                <w:ilvl w:val="2"/>
                <w:numId w:val="14"/>
              </w:numPr>
              <w:spacing w:after="0" w:line="240" w:lineRule="auto"/>
              <w:contextualSpacing/>
              <w:jc w:val="both"/>
              <w:rPr>
                <w:rFonts w:eastAsia="Times New Roman" w:cs="Times New Roman"/>
                <w:lang w:eastAsia="en-GB"/>
              </w:rPr>
            </w:pPr>
            <w:r>
              <w:rPr>
                <w:rFonts w:eastAsia="Times New Roman" w:cs="Times New Roman"/>
                <w:lang w:eastAsia="en-GB"/>
              </w:rPr>
              <w:t>Final inception report and tools</w:t>
            </w:r>
            <w:r w:rsidR="008D337A">
              <w:rPr>
                <w:rFonts w:eastAsia="Times New Roman" w:cs="Times New Roman"/>
                <w:lang w:eastAsia="en-GB"/>
              </w:rPr>
              <w:t>. Submission to NRC.</w:t>
            </w:r>
          </w:p>
        </w:tc>
        <w:tc>
          <w:tcPr>
            <w:tcW w:w="0" w:type="auto"/>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tcPr>
          <w:p w14:paraId="2246CB25" w14:textId="77777777" w:rsidR="00C34EB6" w:rsidRPr="00BB26F5" w:rsidRDefault="7CD44D6E" w:rsidP="00136F9F">
            <w:pPr>
              <w:spacing w:after="0" w:line="240" w:lineRule="auto"/>
              <w:jc w:val="both"/>
              <w:rPr>
                <w:rFonts w:eastAsia="Times New Roman" w:cs="Times New Roman"/>
                <w:lang w:eastAsia="en-GB"/>
              </w:rPr>
            </w:pPr>
            <w:r w:rsidRPr="1E627BB5">
              <w:rPr>
                <w:rFonts w:eastAsia="Times New Roman" w:cs="Times New Roman"/>
                <w:lang w:eastAsia="en-GB"/>
              </w:rPr>
              <w:t>Submission of final inception Report and tools</w:t>
            </w:r>
          </w:p>
        </w:tc>
      </w:tr>
      <w:tr w:rsidR="00C34EB6" w:rsidRPr="00BB26F5" w14:paraId="0017ECB9" w14:textId="77777777" w:rsidTr="000B7CD4">
        <w:trPr>
          <w:trHeight w:val="732"/>
          <w:jc w:val="center"/>
        </w:trPr>
        <w:tc>
          <w:tcPr>
            <w:tcW w:w="0" w:type="auto"/>
            <w:tcBorders>
              <w:top w:val="nil"/>
              <w:left w:val="single" w:sz="6" w:space="0" w:color="auto"/>
              <w:bottom w:val="single" w:sz="6" w:space="0" w:color="auto"/>
              <w:right w:val="single" w:sz="6" w:space="0" w:color="auto"/>
            </w:tcBorders>
            <w:vAlign w:val="center"/>
          </w:tcPr>
          <w:p w14:paraId="4BAC2D2F" w14:textId="77777777" w:rsidR="00C34EB6" w:rsidRDefault="00C34EB6" w:rsidP="000B7CD4">
            <w:pPr>
              <w:spacing w:after="0" w:line="240" w:lineRule="auto"/>
              <w:rPr>
                <w:rFonts w:eastAsia="Times New Roman" w:cs="Times New Roman"/>
                <w:lang w:eastAsia="en-GB"/>
              </w:rPr>
            </w:pPr>
            <w:r>
              <w:rPr>
                <w:rFonts w:eastAsia="Times New Roman" w:cs="Times New Roman"/>
                <w:lang w:eastAsia="en-GB"/>
              </w:rPr>
              <w:t>5 days (NRC)</w:t>
            </w:r>
          </w:p>
        </w:tc>
        <w:tc>
          <w:tcPr>
            <w:tcW w:w="0" w:type="auto"/>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p w14:paraId="274E4C3A" w14:textId="77777777" w:rsidR="00C34EB6" w:rsidRDefault="00C34EB6" w:rsidP="00136F9F">
            <w:pPr>
              <w:pStyle w:val="ListParagraph"/>
              <w:numPr>
                <w:ilvl w:val="2"/>
                <w:numId w:val="14"/>
              </w:numPr>
              <w:spacing w:after="0" w:line="240" w:lineRule="auto"/>
              <w:contextualSpacing/>
              <w:jc w:val="both"/>
              <w:rPr>
                <w:rFonts w:eastAsia="Times New Roman" w:cs="Times New Roman"/>
                <w:lang w:eastAsia="en-GB"/>
              </w:rPr>
            </w:pPr>
            <w:r w:rsidRPr="25027DAB">
              <w:rPr>
                <w:rFonts w:eastAsia="Times New Roman" w:cs="Times New Roman"/>
                <w:lang w:eastAsia="en-GB"/>
              </w:rPr>
              <w:t>Logistics and planning</w:t>
            </w:r>
          </w:p>
        </w:tc>
        <w:tc>
          <w:tcPr>
            <w:tcW w:w="0" w:type="auto"/>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tcPr>
          <w:p w14:paraId="01CF12FC" w14:textId="77777777" w:rsidR="00C34EB6" w:rsidRDefault="00C34EB6" w:rsidP="00136F9F">
            <w:pPr>
              <w:spacing w:after="0" w:line="240" w:lineRule="auto"/>
              <w:jc w:val="both"/>
              <w:rPr>
                <w:rFonts w:eastAsia="Times New Roman" w:cs="Times New Roman"/>
                <w:lang w:eastAsia="en-GB"/>
              </w:rPr>
            </w:pPr>
          </w:p>
        </w:tc>
      </w:tr>
      <w:tr w:rsidR="00C34EB6" w:rsidRPr="00BB26F5" w14:paraId="7E8AC1F8" w14:textId="77777777" w:rsidTr="000B7CD4">
        <w:trPr>
          <w:trHeight w:val="732"/>
          <w:jc w:val="center"/>
        </w:trPr>
        <w:tc>
          <w:tcPr>
            <w:tcW w:w="0" w:type="auto"/>
            <w:tcBorders>
              <w:top w:val="nil"/>
              <w:left w:val="single" w:sz="6" w:space="0" w:color="auto"/>
              <w:bottom w:val="single" w:sz="6" w:space="0" w:color="auto"/>
              <w:right w:val="single" w:sz="6" w:space="0" w:color="auto"/>
            </w:tcBorders>
            <w:vAlign w:val="center"/>
          </w:tcPr>
          <w:p w14:paraId="30E117E7" w14:textId="77777777" w:rsidR="00C34EB6" w:rsidRDefault="00C34EB6" w:rsidP="000B7CD4">
            <w:pPr>
              <w:spacing w:after="0" w:line="240" w:lineRule="auto"/>
              <w:rPr>
                <w:rFonts w:eastAsia="Times New Roman" w:cs="Times New Roman"/>
                <w:lang w:eastAsia="en-GB"/>
              </w:rPr>
            </w:pPr>
          </w:p>
          <w:p w14:paraId="465EC736" w14:textId="77777777" w:rsidR="00C34EB6" w:rsidRDefault="00C34EB6" w:rsidP="000B7CD4">
            <w:pPr>
              <w:spacing w:after="0" w:line="240" w:lineRule="auto"/>
              <w:rPr>
                <w:rFonts w:eastAsia="Times New Roman" w:cs="Times New Roman"/>
                <w:lang w:eastAsia="en-GB"/>
              </w:rPr>
            </w:pPr>
            <w:r>
              <w:rPr>
                <w:rFonts w:eastAsia="Times New Roman" w:cs="Times New Roman"/>
                <w:lang w:eastAsia="en-GB"/>
              </w:rPr>
              <w:t>15 days (Consultant)</w:t>
            </w:r>
          </w:p>
        </w:tc>
        <w:tc>
          <w:tcPr>
            <w:tcW w:w="0" w:type="auto"/>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14:paraId="3D0D4ABB" w14:textId="77777777" w:rsidR="00C34EB6" w:rsidRPr="006C7735" w:rsidRDefault="00C34EB6" w:rsidP="00136F9F">
            <w:pPr>
              <w:pStyle w:val="ListParagraph"/>
              <w:numPr>
                <w:ilvl w:val="2"/>
                <w:numId w:val="14"/>
              </w:numPr>
              <w:spacing w:after="0" w:line="240" w:lineRule="auto"/>
              <w:contextualSpacing/>
              <w:jc w:val="both"/>
              <w:rPr>
                <w:rFonts w:eastAsia="Times New Roman" w:cs="Times New Roman"/>
                <w:lang w:eastAsia="en-GB"/>
              </w:rPr>
            </w:pPr>
            <w:r w:rsidRPr="25027DAB">
              <w:rPr>
                <w:rFonts w:eastAsia="Times New Roman" w:cs="Times New Roman"/>
                <w:lang w:eastAsia="en-GB"/>
              </w:rPr>
              <w:t xml:space="preserve">Data collection in Country </w:t>
            </w:r>
            <w:r w:rsidR="68166112" w:rsidRPr="25027DAB">
              <w:rPr>
                <w:rFonts w:eastAsia="Times New Roman" w:cs="Times New Roman"/>
                <w:lang w:eastAsia="en-GB"/>
              </w:rPr>
              <w:t>(to include min. 2 validation sessions)</w:t>
            </w:r>
          </w:p>
        </w:tc>
        <w:tc>
          <w:tcPr>
            <w:tcW w:w="0" w:type="auto"/>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14:paraId="41F8BD80" w14:textId="77777777" w:rsidR="00C34EB6" w:rsidRPr="00BB26F5" w:rsidRDefault="7CD44D6E" w:rsidP="00136F9F">
            <w:pPr>
              <w:spacing w:after="0" w:line="240" w:lineRule="auto"/>
              <w:jc w:val="both"/>
              <w:rPr>
                <w:rFonts w:eastAsia="Times New Roman" w:cs="Times New Roman"/>
                <w:lang w:eastAsia="en-GB"/>
              </w:rPr>
            </w:pPr>
            <w:r w:rsidRPr="1E627BB5">
              <w:rPr>
                <w:rFonts w:eastAsia="Times New Roman" w:cs="Times New Roman"/>
                <w:lang w:eastAsia="en-GB"/>
              </w:rPr>
              <w:t xml:space="preserve">Debrief Presentation to </w:t>
            </w:r>
            <w:r w:rsidR="000B7CD4">
              <w:rPr>
                <w:rFonts w:eastAsia="Times New Roman" w:cs="Times New Roman"/>
                <w:lang w:eastAsia="en-GB"/>
              </w:rPr>
              <w:t xml:space="preserve">the </w:t>
            </w:r>
            <w:r w:rsidRPr="1E627BB5">
              <w:rPr>
                <w:rFonts w:eastAsia="Times New Roman" w:cs="Times New Roman"/>
                <w:lang w:eastAsia="en-GB"/>
              </w:rPr>
              <w:t>steering committee</w:t>
            </w:r>
          </w:p>
        </w:tc>
      </w:tr>
      <w:tr w:rsidR="00C34EB6" w:rsidRPr="00BB26F5" w14:paraId="7AC3DBA4" w14:textId="77777777" w:rsidTr="000B7CD4">
        <w:trPr>
          <w:trHeight w:val="732"/>
          <w:jc w:val="center"/>
        </w:trPr>
        <w:tc>
          <w:tcPr>
            <w:tcW w:w="0" w:type="auto"/>
            <w:tcBorders>
              <w:top w:val="nil"/>
              <w:left w:val="single" w:sz="6" w:space="0" w:color="auto"/>
              <w:bottom w:val="single" w:sz="6" w:space="0" w:color="auto"/>
              <w:right w:val="single" w:sz="6" w:space="0" w:color="auto"/>
            </w:tcBorders>
            <w:vAlign w:val="center"/>
          </w:tcPr>
          <w:p w14:paraId="2C404B92" w14:textId="77777777" w:rsidR="00C34EB6" w:rsidRDefault="00C34EB6" w:rsidP="000B7CD4">
            <w:pPr>
              <w:spacing w:after="0" w:line="240" w:lineRule="auto"/>
              <w:rPr>
                <w:rFonts w:eastAsia="Times New Roman" w:cs="Times New Roman"/>
                <w:lang w:eastAsia="en-GB"/>
              </w:rPr>
            </w:pPr>
            <w:r>
              <w:rPr>
                <w:rFonts w:eastAsia="Times New Roman" w:cs="Times New Roman"/>
                <w:lang w:eastAsia="en-GB"/>
              </w:rPr>
              <w:t>15 days (Consultant)</w:t>
            </w:r>
          </w:p>
        </w:tc>
        <w:tc>
          <w:tcPr>
            <w:tcW w:w="0" w:type="auto"/>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p w14:paraId="399FD8E9" w14:textId="77777777" w:rsidR="00C34EB6" w:rsidRDefault="00746EE7" w:rsidP="00136F9F">
            <w:pPr>
              <w:pStyle w:val="ListParagraph"/>
              <w:numPr>
                <w:ilvl w:val="2"/>
                <w:numId w:val="14"/>
              </w:numPr>
              <w:spacing w:after="0" w:line="240" w:lineRule="auto"/>
              <w:contextualSpacing/>
              <w:jc w:val="both"/>
              <w:rPr>
                <w:rFonts w:eastAsia="Times New Roman" w:cs="Times New Roman"/>
                <w:lang w:eastAsia="en-GB"/>
              </w:rPr>
            </w:pPr>
            <w:r>
              <w:rPr>
                <w:rFonts w:eastAsia="Times New Roman" w:cs="Times New Roman"/>
                <w:lang w:eastAsia="en-GB"/>
              </w:rPr>
              <w:t>Compilation</w:t>
            </w:r>
            <w:r w:rsidR="00C34EB6">
              <w:rPr>
                <w:rFonts w:eastAsia="Times New Roman" w:cs="Times New Roman"/>
                <w:lang w:eastAsia="en-GB"/>
              </w:rPr>
              <w:t xml:space="preserve"> of draft report</w:t>
            </w:r>
            <w:r w:rsidR="00D7480E">
              <w:rPr>
                <w:rFonts w:eastAsia="Times New Roman" w:cs="Times New Roman"/>
                <w:lang w:eastAsia="en-GB"/>
              </w:rPr>
              <w:t xml:space="preserve"> V1</w:t>
            </w:r>
            <w:r w:rsidR="00166AEA">
              <w:rPr>
                <w:rFonts w:eastAsia="Times New Roman" w:cs="Times New Roman"/>
                <w:lang w:eastAsia="en-GB"/>
              </w:rPr>
              <w:t>.</w:t>
            </w:r>
          </w:p>
        </w:tc>
        <w:tc>
          <w:tcPr>
            <w:tcW w:w="0" w:type="auto"/>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tcPr>
          <w:p w14:paraId="44513750" w14:textId="77777777" w:rsidR="00C34EB6" w:rsidRPr="00BB26F5" w:rsidRDefault="00166AEA" w:rsidP="00136F9F">
            <w:pPr>
              <w:spacing w:after="0" w:line="240" w:lineRule="auto"/>
              <w:jc w:val="both"/>
              <w:rPr>
                <w:rFonts w:eastAsia="Times New Roman" w:cs="Times New Roman"/>
                <w:lang w:eastAsia="en-GB"/>
              </w:rPr>
            </w:pPr>
            <w:r>
              <w:rPr>
                <w:rFonts w:eastAsia="Times New Roman" w:cs="Times New Roman"/>
                <w:lang w:eastAsia="en-GB"/>
              </w:rPr>
              <w:t>Submission of draft report V1 to NRC.</w:t>
            </w:r>
          </w:p>
        </w:tc>
      </w:tr>
      <w:tr w:rsidR="00C34EB6" w:rsidRPr="00BB26F5" w14:paraId="59B3FB41" w14:textId="77777777" w:rsidTr="000B7CD4">
        <w:trPr>
          <w:trHeight w:val="732"/>
          <w:jc w:val="center"/>
        </w:trPr>
        <w:tc>
          <w:tcPr>
            <w:tcW w:w="0" w:type="auto"/>
            <w:tcBorders>
              <w:top w:val="nil"/>
              <w:left w:val="single" w:sz="6" w:space="0" w:color="auto"/>
              <w:bottom w:val="single" w:sz="6" w:space="0" w:color="auto"/>
              <w:right w:val="single" w:sz="6" w:space="0" w:color="auto"/>
            </w:tcBorders>
            <w:vAlign w:val="center"/>
          </w:tcPr>
          <w:p w14:paraId="46CE0BC7" w14:textId="77777777" w:rsidR="00C34EB6" w:rsidRDefault="00C34EB6" w:rsidP="000B7CD4">
            <w:pPr>
              <w:spacing w:after="0" w:line="240" w:lineRule="auto"/>
              <w:rPr>
                <w:rFonts w:eastAsia="Times New Roman" w:cs="Times New Roman"/>
                <w:lang w:eastAsia="en-GB"/>
              </w:rPr>
            </w:pPr>
            <w:r>
              <w:rPr>
                <w:rFonts w:eastAsia="Times New Roman" w:cs="Times New Roman"/>
                <w:lang w:eastAsia="en-GB"/>
              </w:rPr>
              <w:t>5 days (NRC)</w:t>
            </w:r>
          </w:p>
        </w:tc>
        <w:tc>
          <w:tcPr>
            <w:tcW w:w="0" w:type="auto"/>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p w14:paraId="69A6AC07" w14:textId="77777777" w:rsidR="00C34EB6" w:rsidRDefault="00C34EB6" w:rsidP="00136F9F">
            <w:pPr>
              <w:pStyle w:val="ListParagraph"/>
              <w:numPr>
                <w:ilvl w:val="2"/>
                <w:numId w:val="14"/>
              </w:numPr>
              <w:spacing w:after="0" w:line="240" w:lineRule="auto"/>
              <w:contextualSpacing/>
              <w:jc w:val="both"/>
              <w:rPr>
                <w:rFonts w:eastAsia="Times New Roman" w:cs="Times New Roman"/>
                <w:lang w:eastAsia="en-GB"/>
              </w:rPr>
            </w:pPr>
            <w:r>
              <w:rPr>
                <w:rFonts w:eastAsia="Times New Roman" w:cs="Times New Roman"/>
                <w:lang w:eastAsia="en-GB"/>
              </w:rPr>
              <w:t xml:space="preserve">NRC review and feedback </w:t>
            </w:r>
            <w:r w:rsidR="00166AEA">
              <w:rPr>
                <w:rFonts w:eastAsia="Times New Roman" w:cs="Times New Roman"/>
                <w:lang w:eastAsia="en-GB"/>
              </w:rPr>
              <w:t>on V1</w:t>
            </w:r>
          </w:p>
        </w:tc>
        <w:tc>
          <w:tcPr>
            <w:tcW w:w="0" w:type="auto"/>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tcPr>
          <w:p w14:paraId="3A228779" w14:textId="77777777" w:rsidR="00C34EB6" w:rsidRPr="00BB26F5" w:rsidRDefault="00C34EB6" w:rsidP="00136F9F">
            <w:pPr>
              <w:spacing w:after="0" w:line="240" w:lineRule="auto"/>
              <w:jc w:val="both"/>
              <w:rPr>
                <w:rFonts w:eastAsia="Times New Roman" w:cs="Times New Roman"/>
                <w:lang w:eastAsia="en-GB"/>
              </w:rPr>
            </w:pPr>
          </w:p>
        </w:tc>
      </w:tr>
      <w:tr w:rsidR="00C34EB6" w:rsidRPr="00BB26F5" w14:paraId="2DC8606C" w14:textId="77777777" w:rsidTr="000B7CD4">
        <w:trPr>
          <w:trHeight w:val="732"/>
          <w:jc w:val="center"/>
        </w:trPr>
        <w:tc>
          <w:tcPr>
            <w:tcW w:w="0" w:type="auto"/>
            <w:tcBorders>
              <w:top w:val="nil"/>
              <w:left w:val="single" w:sz="6" w:space="0" w:color="auto"/>
              <w:bottom w:val="single" w:sz="6" w:space="0" w:color="auto"/>
              <w:right w:val="single" w:sz="6" w:space="0" w:color="auto"/>
            </w:tcBorders>
            <w:vAlign w:val="center"/>
          </w:tcPr>
          <w:p w14:paraId="68BAE5B2" w14:textId="77777777" w:rsidR="00C34EB6" w:rsidRPr="00C801E2" w:rsidRDefault="00C34EB6" w:rsidP="000B7CD4">
            <w:pPr>
              <w:spacing w:after="0" w:line="240" w:lineRule="auto"/>
              <w:rPr>
                <w:rFonts w:eastAsia="Times New Roman" w:cs="Times New Roman"/>
                <w:lang w:eastAsia="en-GB"/>
              </w:rPr>
            </w:pPr>
            <w:r w:rsidRPr="00C801E2">
              <w:rPr>
                <w:rFonts w:eastAsia="Times New Roman" w:cs="Times New Roman"/>
                <w:lang w:eastAsia="en-GB"/>
              </w:rPr>
              <w:t>5 days (consultant)</w:t>
            </w:r>
          </w:p>
        </w:tc>
        <w:tc>
          <w:tcPr>
            <w:tcW w:w="0" w:type="auto"/>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p w14:paraId="650ACBE2" w14:textId="77777777" w:rsidR="00C34EB6" w:rsidRDefault="00D7480E" w:rsidP="00136F9F">
            <w:pPr>
              <w:pStyle w:val="ListParagraph"/>
              <w:numPr>
                <w:ilvl w:val="2"/>
                <w:numId w:val="14"/>
              </w:numPr>
              <w:spacing w:after="0" w:line="240" w:lineRule="auto"/>
              <w:contextualSpacing/>
              <w:jc w:val="both"/>
              <w:rPr>
                <w:rFonts w:eastAsia="Times New Roman" w:cs="Times New Roman"/>
                <w:lang w:eastAsia="en-GB"/>
              </w:rPr>
            </w:pPr>
            <w:r>
              <w:rPr>
                <w:rFonts w:eastAsia="Times New Roman" w:cs="Times New Roman"/>
                <w:lang w:eastAsia="en-GB"/>
              </w:rPr>
              <w:t>Development of draft</w:t>
            </w:r>
            <w:r w:rsidR="00166AEA">
              <w:rPr>
                <w:rFonts w:eastAsia="Times New Roman" w:cs="Times New Roman"/>
                <w:lang w:eastAsia="en-GB"/>
              </w:rPr>
              <w:t xml:space="preserve"> report</w:t>
            </w:r>
            <w:r>
              <w:rPr>
                <w:rFonts w:eastAsia="Times New Roman" w:cs="Times New Roman"/>
                <w:lang w:eastAsia="en-GB"/>
              </w:rPr>
              <w:t xml:space="preserve"> V2</w:t>
            </w:r>
          </w:p>
        </w:tc>
        <w:tc>
          <w:tcPr>
            <w:tcW w:w="0" w:type="auto"/>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tcPr>
          <w:p w14:paraId="6A3C7E5B" w14:textId="77777777" w:rsidR="00C34EB6" w:rsidRPr="00BB26F5" w:rsidRDefault="00D7480E" w:rsidP="00136F9F">
            <w:pPr>
              <w:spacing w:after="0" w:line="240" w:lineRule="auto"/>
              <w:jc w:val="both"/>
              <w:rPr>
                <w:rFonts w:eastAsia="Times New Roman" w:cs="Times New Roman"/>
                <w:lang w:eastAsia="en-GB"/>
              </w:rPr>
            </w:pPr>
            <w:r>
              <w:rPr>
                <w:rFonts w:eastAsia="Times New Roman" w:cs="Times New Roman"/>
                <w:lang w:eastAsia="en-GB"/>
              </w:rPr>
              <w:t>Submission of draft report V2 to NRC</w:t>
            </w:r>
          </w:p>
        </w:tc>
      </w:tr>
      <w:tr w:rsidR="00C34EB6" w:rsidRPr="00BB26F5" w14:paraId="270BCDBA" w14:textId="77777777" w:rsidTr="000B7CD4">
        <w:trPr>
          <w:trHeight w:val="732"/>
          <w:jc w:val="center"/>
        </w:trPr>
        <w:tc>
          <w:tcPr>
            <w:tcW w:w="0" w:type="auto"/>
            <w:tcBorders>
              <w:top w:val="nil"/>
              <w:left w:val="single" w:sz="6" w:space="0" w:color="auto"/>
              <w:bottom w:val="single" w:sz="6" w:space="0" w:color="auto"/>
              <w:right w:val="single" w:sz="6" w:space="0" w:color="auto"/>
            </w:tcBorders>
            <w:vAlign w:val="center"/>
          </w:tcPr>
          <w:p w14:paraId="7B27D045" w14:textId="77777777" w:rsidR="00C34EB6" w:rsidRDefault="00C34EB6" w:rsidP="000B7CD4">
            <w:pPr>
              <w:spacing w:after="0" w:line="240" w:lineRule="auto"/>
              <w:rPr>
                <w:rFonts w:eastAsia="Times New Roman" w:cs="Times New Roman"/>
                <w:lang w:eastAsia="en-GB"/>
              </w:rPr>
            </w:pPr>
            <w:r>
              <w:rPr>
                <w:rFonts w:eastAsia="Times New Roman" w:cs="Times New Roman"/>
                <w:lang w:eastAsia="en-GB"/>
              </w:rPr>
              <w:t>5 days (NRC)</w:t>
            </w:r>
          </w:p>
        </w:tc>
        <w:tc>
          <w:tcPr>
            <w:tcW w:w="0" w:type="auto"/>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p w14:paraId="416DDA62" w14:textId="77777777" w:rsidR="00C34EB6" w:rsidRDefault="00C34EB6" w:rsidP="00136F9F">
            <w:pPr>
              <w:pStyle w:val="ListParagraph"/>
              <w:numPr>
                <w:ilvl w:val="2"/>
                <w:numId w:val="14"/>
              </w:numPr>
              <w:spacing w:after="0" w:line="240" w:lineRule="auto"/>
              <w:contextualSpacing/>
              <w:jc w:val="both"/>
              <w:rPr>
                <w:rFonts w:eastAsia="Times New Roman" w:cs="Times New Roman"/>
                <w:lang w:eastAsia="en-GB"/>
              </w:rPr>
            </w:pPr>
            <w:r>
              <w:rPr>
                <w:rFonts w:eastAsia="Times New Roman" w:cs="Times New Roman"/>
                <w:lang w:eastAsia="en-GB"/>
              </w:rPr>
              <w:t>NRC review and feedback</w:t>
            </w:r>
            <w:r w:rsidR="00166AEA">
              <w:rPr>
                <w:rFonts w:eastAsia="Times New Roman" w:cs="Times New Roman"/>
                <w:lang w:eastAsia="en-GB"/>
              </w:rPr>
              <w:t xml:space="preserve"> on V2</w:t>
            </w:r>
          </w:p>
        </w:tc>
        <w:tc>
          <w:tcPr>
            <w:tcW w:w="0" w:type="auto"/>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tcPr>
          <w:p w14:paraId="2E5FAA0F" w14:textId="77777777" w:rsidR="00C34EB6" w:rsidRPr="00BB26F5" w:rsidRDefault="00C34EB6" w:rsidP="00136F9F">
            <w:pPr>
              <w:spacing w:after="0" w:line="240" w:lineRule="auto"/>
              <w:jc w:val="both"/>
              <w:rPr>
                <w:rFonts w:eastAsia="Times New Roman" w:cs="Times New Roman"/>
                <w:lang w:eastAsia="en-GB"/>
              </w:rPr>
            </w:pPr>
          </w:p>
        </w:tc>
      </w:tr>
      <w:tr w:rsidR="00C34EB6" w:rsidRPr="00BB26F5" w14:paraId="14C4D654" w14:textId="77777777" w:rsidTr="000B7CD4">
        <w:trPr>
          <w:trHeight w:val="732"/>
          <w:jc w:val="center"/>
        </w:trPr>
        <w:tc>
          <w:tcPr>
            <w:tcW w:w="0" w:type="auto"/>
            <w:tcBorders>
              <w:top w:val="nil"/>
              <w:left w:val="single" w:sz="6" w:space="0" w:color="auto"/>
              <w:bottom w:val="single" w:sz="6" w:space="0" w:color="auto"/>
              <w:right w:val="single" w:sz="6" w:space="0" w:color="auto"/>
            </w:tcBorders>
            <w:vAlign w:val="center"/>
          </w:tcPr>
          <w:p w14:paraId="0AE02EF7" w14:textId="77777777" w:rsidR="00C34EB6" w:rsidRDefault="00C34EB6" w:rsidP="000B7CD4">
            <w:pPr>
              <w:spacing w:after="0" w:line="240" w:lineRule="auto"/>
              <w:rPr>
                <w:rFonts w:eastAsia="Times New Roman" w:cs="Times New Roman"/>
                <w:lang w:eastAsia="en-GB"/>
              </w:rPr>
            </w:pPr>
            <w:r>
              <w:rPr>
                <w:rFonts w:eastAsia="Times New Roman" w:cs="Times New Roman"/>
                <w:lang w:eastAsia="en-GB"/>
              </w:rPr>
              <w:t>4 days (consultant)</w:t>
            </w:r>
          </w:p>
        </w:tc>
        <w:tc>
          <w:tcPr>
            <w:tcW w:w="0" w:type="auto"/>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p w14:paraId="55767DC4" w14:textId="77777777" w:rsidR="00C34EB6" w:rsidRPr="00D977F3" w:rsidRDefault="00C34EB6" w:rsidP="00136F9F">
            <w:pPr>
              <w:pStyle w:val="ListParagraph"/>
              <w:numPr>
                <w:ilvl w:val="2"/>
                <w:numId w:val="14"/>
              </w:numPr>
              <w:spacing w:after="0" w:line="240" w:lineRule="auto"/>
              <w:contextualSpacing/>
              <w:jc w:val="both"/>
              <w:rPr>
                <w:rFonts w:eastAsia="Times New Roman" w:cs="Times New Roman"/>
                <w:lang w:eastAsia="en-GB"/>
              </w:rPr>
            </w:pPr>
            <w:r w:rsidRPr="3561BD5C">
              <w:rPr>
                <w:rFonts w:eastAsia="Times New Roman" w:cs="Times New Roman"/>
                <w:lang w:eastAsia="en-GB"/>
              </w:rPr>
              <w:t xml:space="preserve">Submission of </w:t>
            </w:r>
            <w:r w:rsidR="000B7CD4">
              <w:rPr>
                <w:rFonts w:eastAsia="Times New Roman" w:cs="Times New Roman"/>
                <w:lang w:eastAsia="en-GB"/>
              </w:rPr>
              <w:t xml:space="preserve">the </w:t>
            </w:r>
            <w:r w:rsidRPr="3561BD5C">
              <w:rPr>
                <w:rFonts w:eastAsia="Times New Roman" w:cs="Times New Roman"/>
                <w:lang w:eastAsia="en-GB"/>
              </w:rPr>
              <w:t>final report</w:t>
            </w:r>
            <w:r w:rsidR="78611B92" w:rsidRPr="3561BD5C">
              <w:rPr>
                <w:rFonts w:eastAsia="Times New Roman" w:cs="Times New Roman"/>
                <w:lang w:eastAsia="en-GB"/>
              </w:rPr>
              <w:t xml:space="preserve"> and youth-friendly presentation of key findings</w:t>
            </w:r>
          </w:p>
        </w:tc>
        <w:tc>
          <w:tcPr>
            <w:tcW w:w="0" w:type="auto"/>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tcPr>
          <w:p w14:paraId="3DC39F58" w14:textId="77777777" w:rsidR="00C34EB6" w:rsidRDefault="7CD44D6E" w:rsidP="000B7CD4">
            <w:pPr>
              <w:spacing w:after="0" w:line="240" w:lineRule="auto"/>
              <w:jc w:val="both"/>
              <w:rPr>
                <w:rFonts w:eastAsia="Times New Roman" w:cs="Times New Roman"/>
                <w:lang w:eastAsia="en-GB"/>
              </w:rPr>
            </w:pPr>
            <w:r w:rsidRPr="1E627BB5">
              <w:rPr>
                <w:rFonts w:eastAsia="Times New Roman" w:cs="Times New Roman"/>
                <w:lang w:eastAsia="en-GB"/>
              </w:rPr>
              <w:t xml:space="preserve">Submission of final </w:t>
            </w:r>
            <w:r w:rsidR="000B7CD4">
              <w:rPr>
                <w:rFonts w:eastAsia="Times New Roman" w:cs="Times New Roman"/>
                <w:lang w:eastAsia="en-GB"/>
              </w:rPr>
              <w:t>r</w:t>
            </w:r>
            <w:r w:rsidRPr="1E627BB5">
              <w:rPr>
                <w:rFonts w:eastAsia="Times New Roman" w:cs="Times New Roman"/>
                <w:lang w:eastAsia="en-GB"/>
              </w:rPr>
              <w:t xml:space="preserve">eport </w:t>
            </w:r>
            <w:r w:rsidR="443F064D" w:rsidRPr="1E627BB5">
              <w:rPr>
                <w:rFonts w:eastAsia="Times New Roman" w:cs="Times New Roman"/>
                <w:lang w:eastAsia="en-GB"/>
              </w:rPr>
              <w:t>and presentation</w:t>
            </w:r>
          </w:p>
        </w:tc>
      </w:tr>
    </w:tbl>
    <w:p w14:paraId="5E5F0272" w14:textId="77777777" w:rsidR="7CD44D6E" w:rsidRDefault="7CD44D6E" w:rsidP="7CD44D6E"/>
    <w:p w14:paraId="7DEDB683" w14:textId="77777777" w:rsidR="00F4071B" w:rsidRPr="00166AEA" w:rsidRDefault="00166AEA" w:rsidP="000B7CD4">
      <w:pPr>
        <w:jc w:val="both"/>
      </w:pPr>
      <w:r w:rsidRPr="3561BD5C">
        <w:t xml:space="preserve">Throughout the consultancy, progression to the subsequent stage and milestone payments in the progress plan is contingent upon satisfactory receipt and sign off on deliverables by NRC. </w:t>
      </w:r>
      <w:r w:rsidR="15E06339" w:rsidRPr="3561BD5C">
        <w:t>P</w:t>
      </w:r>
      <w:r w:rsidR="07CE0D47" w:rsidRPr="3561BD5C">
        <w:t>ayments will not be made until deliverables have been signed off, which may</w:t>
      </w:r>
      <w:r w:rsidR="000B7CD4">
        <w:t>, in turn,</w:t>
      </w:r>
      <w:r w:rsidR="07CE0D47" w:rsidRPr="3561BD5C">
        <w:t xml:space="preserve"> affect the timeline </w:t>
      </w:r>
      <w:r w:rsidR="227AD47F" w:rsidRPr="3561BD5C">
        <w:t>without</w:t>
      </w:r>
      <w:r w:rsidR="07CE0D47" w:rsidRPr="3561BD5C">
        <w:t xml:space="preserve"> additional payment to the consultant. </w:t>
      </w:r>
    </w:p>
    <w:p w14:paraId="237FBD66" w14:textId="77777777" w:rsidR="00166AEA" w:rsidRDefault="00166AEA" w:rsidP="00F4071B">
      <w:pPr>
        <w:rPr>
          <w:rFonts w:cstheme="minorHAnsi"/>
          <w:b/>
        </w:rPr>
      </w:pPr>
    </w:p>
    <w:p w14:paraId="7691A4A1" w14:textId="77777777" w:rsidR="00F4071B" w:rsidRPr="00EF76E4" w:rsidRDefault="00F4071B" w:rsidP="00EF76E4">
      <w:pPr>
        <w:rPr>
          <w:rFonts w:cstheme="minorHAnsi"/>
          <w:b/>
        </w:rPr>
      </w:pPr>
      <w:r>
        <w:rPr>
          <w:rFonts w:cstheme="minorHAnsi"/>
          <w:b/>
        </w:rPr>
        <w:lastRenderedPageBreak/>
        <w:t>3</w:t>
      </w:r>
      <w:r w:rsidRPr="008C1AFD">
        <w:rPr>
          <w:rFonts w:cstheme="minorHAnsi"/>
          <w:b/>
        </w:rPr>
        <w:t>. Institutional and organisational arrangements</w:t>
      </w:r>
    </w:p>
    <w:p w14:paraId="4C65A5A1" w14:textId="77777777" w:rsidR="00F4071B" w:rsidRPr="00940B5A" w:rsidRDefault="00F4071B" w:rsidP="00F4071B">
      <w:pPr>
        <w:rPr>
          <w:rFonts w:cstheme="minorHAnsi"/>
          <w:b/>
        </w:rPr>
      </w:pPr>
      <w:r w:rsidRPr="00940B5A">
        <w:rPr>
          <w:rFonts w:cstheme="minorHAnsi"/>
          <w:b/>
        </w:rPr>
        <w:t xml:space="preserve">Duties of the </w:t>
      </w:r>
      <w:r>
        <w:rPr>
          <w:rFonts w:cstheme="minorHAnsi"/>
          <w:b/>
        </w:rPr>
        <w:t>c</w:t>
      </w:r>
      <w:r w:rsidRPr="00940B5A">
        <w:rPr>
          <w:rFonts w:cstheme="minorHAnsi"/>
          <w:b/>
        </w:rPr>
        <w:t>onsultant</w:t>
      </w:r>
    </w:p>
    <w:p w14:paraId="728FF61D" w14:textId="77777777" w:rsidR="009D6303" w:rsidRPr="0066796D" w:rsidRDefault="009D6303" w:rsidP="00AA5A18">
      <w:pPr>
        <w:pStyle w:val="ListParagraph"/>
        <w:numPr>
          <w:ilvl w:val="0"/>
          <w:numId w:val="8"/>
        </w:numPr>
        <w:jc w:val="both"/>
      </w:pPr>
      <w:r w:rsidRPr="0066796D">
        <w:t xml:space="preserve">NRC shall </w:t>
      </w:r>
      <w:r>
        <w:t xml:space="preserve">be authorized to </w:t>
      </w:r>
      <w:r w:rsidRPr="0066796D">
        <w:t>deduct</w:t>
      </w:r>
      <w:r>
        <w:t xml:space="preserve"> from each invoice the applicable</w:t>
      </w:r>
      <w:r w:rsidRPr="0066796D">
        <w:t xml:space="preserve"> </w:t>
      </w:r>
      <w:r w:rsidRPr="00136F9F">
        <w:rPr>
          <w:b/>
          <w:bCs/>
        </w:rPr>
        <w:t xml:space="preserve">withholding tax </w:t>
      </w:r>
      <w:r w:rsidR="006E49A7" w:rsidRPr="00136F9F">
        <w:rPr>
          <w:b/>
          <w:bCs/>
        </w:rPr>
        <w:t>(5% for national consultants and 10% for international consultants)</w:t>
      </w:r>
      <w:r w:rsidR="006E49A7">
        <w:t xml:space="preserve"> </w:t>
      </w:r>
      <w:r>
        <w:t>as may be levied from time to time under the applicable tax legislation in Jordan,</w:t>
      </w:r>
      <w:r w:rsidRPr="0066796D">
        <w:t xml:space="preserve"> and pa</w:t>
      </w:r>
      <w:r>
        <w:t>y such withholding</w:t>
      </w:r>
      <w:r w:rsidRPr="0066796D">
        <w:t xml:space="preserve"> directly to the tax department. Proof of payment will be provided to the consultan</w:t>
      </w:r>
      <w:r>
        <w:t>t</w:t>
      </w:r>
      <w:r w:rsidRPr="0066796D">
        <w:t xml:space="preserve"> upon request.</w:t>
      </w:r>
    </w:p>
    <w:p w14:paraId="17E1B491" w14:textId="77777777" w:rsidR="00F04A00" w:rsidRDefault="00F04A00" w:rsidP="000B7CD4">
      <w:pPr>
        <w:pStyle w:val="ListParagraph"/>
        <w:numPr>
          <w:ilvl w:val="0"/>
          <w:numId w:val="8"/>
        </w:numPr>
        <w:spacing w:after="0" w:line="240" w:lineRule="auto"/>
        <w:contextualSpacing/>
        <w:jc w:val="both"/>
      </w:pPr>
      <w:r>
        <w:t xml:space="preserve">All consultant companies, ltd or sole-trade, must be registered in accordance with the legal requirements at their base. </w:t>
      </w:r>
      <w:r w:rsidRPr="00136F9F">
        <w:rPr>
          <w:b/>
          <w:bCs/>
        </w:rPr>
        <w:t>Proof of registration must be provided by the consultant</w:t>
      </w:r>
      <w:r>
        <w:t xml:space="preserve"> before a contract will be signed. This can be business registration documentation, and/or VAT or company tax registration. If the consultant is a sole-trader, he/she should be able to provide a confirmation of this status from a certified accountant or the tax authorities. If the sole-trader is based in a European country, he/she should be able to submit a sole-trade certificate/registration document. If the sole trade consultant is from the US a certification from his/her registered accountant about the sole-trade status is sufficient. All sole-trade consultants from a European country must also provide an A1 certificate from the social authorities to verify that he/she is a member of the national social security scheme. </w:t>
      </w:r>
    </w:p>
    <w:p w14:paraId="48D8E63B" w14:textId="77777777" w:rsidR="0066796D" w:rsidRPr="0066796D" w:rsidRDefault="0066796D" w:rsidP="00AA5A18">
      <w:pPr>
        <w:pStyle w:val="ListParagraph"/>
        <w:numPr>
          <w:ilvl w:val="0"/>
          <w:numId w:val="8"/>
        </w:numPr>
        <w:spacing w:after="0" w:line="240" w:lineRule="auto"/>
        <w:contextualSpacing/>
        <w:jc w:val="both"/>
      </w:pPr>
      <w:r>
        <w:rPr>
          <w:rFonts w:cstheme="minorHAnsi"/>
        </w:rPr>
        <w:t>In addition to the requirements provided in paragraph (2) above, t</w:t>
      </w:r>
      <w:r w:rsidRPr="0066796D">
        <w:rPr>
          <w:rFonts w:cstheme="minorHAnsi"/>
        </w:rPr>
        <w:t>he Consultancy and its Key Personnel</w:t>
      </w:r>
      <w:r>
        <w:rPr>
          <w:rFonts w:cstheme="minorHAnsi"/>
        </w:rPr>
        <w:t>, as the case may be,</w:t>
      </w:r>
      <w:r w:rsidRPr="0066796D">
        <w:rPr>
          <w:rFonts w:cstheme="minorHAnsi"/>
        </w:rPr>
        <w:t xml:space="preserve"> shall provide NRC with the following documents that can be requested from the Consultancy and its Key Personnel:</w:t>
      </w:r>
    </w:p>
    <w:p w14:paraId="4405512E" w14:textId="77777777" w:rsidR="0066796D" w:rsidRPr="0066796D" w:rsidRDefault="0066796D" w:rsidP="003202E1">
      <w:pPr>
        <w:pStyle w:val="ListParagraph"/>
        <w:numPr>
          <w:ilvl w:val="0"/>
          <w:numId w:val="11"/>
        </w:numPr>
        <w:spacing w:line="240" w:lineRule="auto"/>
        <w:ind w:left="990"/>
        <w:jc w:val="both"/>
        <w:rPr>
          <w:rFonts w:cstheme="minorHAnsi"/>
        </w:rPr>
      </w:pPr>
      <w:r w:rsidRPr="0066796D">
        <w:rPr>
          <w:rFonts w:cstheme="minorHAnsi"/>
        </w:rPr>
        <w:t>T</w:t>
      </w:r>
      <w:r>
        <w:rPr>
          <w:rFonts w:cstheme="minorHAnsi"/>
        </w:rPr>
        <w:t>he Certificate of Incorporation</w:t>
      </w:r>
    </w:p>
    <w:p w14:paraId="1B083332" w14:textId="77777777" w:rsidR="0066796D" w:rsidRDefault="0066796D" w:rsidP="003202E1">
      <w:pPr>
        <w:pStyle w:val="ListParagraph"/>
        <w:numPr>
          <w:ilvl w:val="0"/>
          <w:numId w:val="11"/>
        </w:numPr>
        <w:spacing w:line="240" w:lineRule="auto"/>
        <w:ind w:left="990"/>
        <w:jc w:val="both"/>
        <w:rPr>
          <w:rFonts w:cstheme="minorHAnsi"/>
        </w:rPr>
      </w:pPr>
      <w:r w:rsidRPr="0066796D">
        <w:rPr>
          <w:rFonts w:cstheme="minorHAnsi"/>
        </w:rPr>
        <w:t xml:space="preserve">Certificate showing the objectives, management structure and authorized signatories </w:t>
      </w:r>
    </w:p>
    <w:p w14:paraId="24A0C4B5" w14:textId="77777777" w:rsidR="0066796D" w:rsidRPr="0066796D" w:rsidRDefault="0066796D" w:rsidP="003202E1">
      <w:pPr>
        <w:pStyle w:val="ListParagraph"/>
        <w:numPr>
          <w:ilvl w:val="0"/>
          <w:numId w:val="11"/>
        </w:numPr>
        <w:spacing w:line="240" w:lineRule="auto"/>
        <w:ind w:left="990"/>
        <w:jc w:val="both"/>
        <w:rPr>
          <w:rFonts w:cstheme="minorHAnsi"/>
        </w:rPr>
      </w:pPr>
      <w:r>
        <w:rPr>
          <w:rFonts w:cstheme="minorHAnsi"/>
        </w:rPr>
        <w:t xml:space="preserve">Certificate of registration with </w:t>
      </w:r>
      <w:r w:rsidR="000B7CD4">
        <w:rPr>
          <w:rFonts w:cstheme="minorHAnsi"/>
        </w:rPr>
        <w:t xml:space="preserve">the </w:t>
      </w:r>
      <w:r>
        <w:rPr>
          <w:rFonts w:cstheme="minorHAnsi"/>
        </w:rPr>
        <w:t>Tax Department.</w:t>
      </w:r>
    </w:p>
    <w:p w14:paraId="46A7086E" w14:textId="77777777" w:rsidR="0066796D" w:rsidRPr="0066796D" w:rsidRDefault="0066796D" w:rsidP="003202E1">
      <w:pPr>
        <w:pStyle w:val="ListParagraph"/>
        <w:numPr>
          <w:ilvl w:val="0"/>
          <w:numId w:val="11"/>
        </w:numPr>
        <w:spacing w:line="240" w:lineRule="auto"/>
        <w:ind w:left="990"/>
        <w:jc w:val="both"/>
        <w:rPr>
          <w:rFonts w:cstheme="minorHAnsi"/>
        </w:rPr>
      </w:pPr>
      <w:r w:rsidRPr="0066796D">
        <w:rPr>
          <w:rFonts w:cstheme="minorHAnsi"/>
        </w:rPr>
        <w:t xml:space="preserve">Certificate of registration with </w:t>
      </w:r>
      <w:r w:rsidR="00B21751" w:rsidRPr="0066796D">
        <w:rPr>
          <w:rFonts w:cstheme="minorHAnsi"/>
        </w:rPr>
        <w:t>(...</w:t>
      </w:r>
      <w:r>
        <w:rPr>
          <w:rFonts w:cstheme="minorHAnsi"/>
        </w:rPr>
        <w:t>Specify the entity. This</w:t>
      </w:r>
      <w:r w:rsidRPr="0066796D">
        <w:rPr>
          <w:rFonts w:cstheme="minorHAnsi"/>
        </w:rPr>
        <w:t xml:space="preserve"> depends on the type of Consultancy </w:t>
      </w:r>
      <w:r w:rsidR="00B21751" w:rsidRPr="0066796D">
        <w:rPr>
          <w:rFonts w:cstheme="minorHAnsi"/>
        </w:rPr>
        <w:t>services...</w:t>
      </w:r>
      <w:r w:rsidRPr="0066796D">
        <w:rPr>
          <w:rFonts w:cstheme="minorHAnsi"/>
        </w:rPr>
        <w:t xml:space="preserve">) </w:t>
      </w:r>
    </w:p>
    <w:p w14:paraId="10FB320A" w14:textId="77777777" w:rsidR="0066796D" w:rsidRPr="0066796D" w:rsidRDefault="0066796D" w:rsidP="003202E1">
      <w:pPr>
        <w:pStyle w:val="ListParagraph"/>
        <w:numPr>
          <w:ilvl w:val="0"/>
          <w:numId w:val="11"/>
        </w:numPr>
        <w:spacing w:line="240" w:lineRule="auto"/>
        <w:ind w:left="990"/>
        <w:jc w:val="both"/>
        <w:rPr>
          <w:rFonts w:cstheme="minorHAnsi"/>
        </w:rPr>
      </w:pPr>
      <w:r w:rsidRPr="0066796D">
        <w:rPr>
          <w:rFonts w:cstheme="minorHAnsi"/>
        </w:rPr>
        <w:t xml:space="preserve">Copies of last 2 years audited financial statements.   </w:t>
      </w:r>
    </w:p>
    <w:p w14:paraId="0FBB6774" w14:textId="77777777" w:rsidR="0066796D" w:rsidRDefault="0066796D" w:rsidP="003202E1">
      <w:pPr>
        <w:pStyle w:val="ListParagraph"/>
        <w:numPr>
          <w:ilvl w:val="0"/>
          <w:numId w:val="11"/>
        </w:numPr>
        <w:spacing w:line="240" w:lineRule="auto"/>
        <w:ind w:left="990"/>
        <w:jc w:val="both"/>
        <w:rPr>
          <w:rFonts w:cstheme="minorHAnsi"/>
        </w:rPr>
      </w:pPr>
      <w:r w:rsidRPr="0066796D">
        <w:rPr>
          <w:rFonts w:cstheme="minorHAnsi"/>
        </w:rPr>
        <w:t>Insurance Policy</w:t>
      </w:r>
    </w:p>
    <w:p w14:paraId="237C7B00" w14:textId="77777777" w:rsidR="0066796D" w:rsidRDefault="0066796D" w:rsidP="003202E1">
      <w:pPr>
        <w:pStyle w:val="ListParagraph"/>
        <w:numPr>
          <w:ilvl w:val="0"/>
          <w:numId w:val="11"/>
        </w:numPr>
        <w:spacing w:line="240" w:lineRule="auto"/>
        <w:ind w:left="990"/>
        <w:jc w:val="both"/>
        <w:rPr>
          <w:rFonts w:cstheme="minorHAnsi"/>
        </w:rPr>
      </w:pPr>
      <w:r w:rsidRPr="0066796D">
        <w:rPr>
          <w:rFonts w:cstheme="minorHAnsi"/>
        </w:rPr>
        <w:t>Valid Vocational License</w:t>
      </w:r>
    </w:p>
    <w:p w14:paraId="798768C4" w14:textId="77777777" w:rsidR="009D6303" w:rsidRPr="0066796D" w:rsidRDefault="009D6303" w:rsidP="003202E1">
      <w:pPr>
        <w:pStyle w:val="ListParagraph"/>
        <w:numPr>
          <w:ilvl w:val="0"/>
          <w:numId w:val="11"/>
        </w:numPr>
        <w:spacing w:line="240" w:lineRule="auto"/>
        <w:ind w:left="990"/>
        <w:jc w:val="both"/>
        <w:rPr>
          <w:rFonts w:cstheme="minorHAnsi"/>
        </w:rPr>
      </w:pPr>
      <w:r>
        <w:rPr>
          <w:rFonts w:cstheme="minorHAnsi"/>
        </w:rPr>
        <w:t>Any other documents or certificate</w:t>
      </w:r>
      <w:r w:rsidR="000B7CD4">
        <w:rPr>
          <w:rFonts w:cstheme="minorHAnsi"/>
        </w:rPr>
        <w:t>s</w:t>
      </w:r>
      <w:r>
        <w:rPr>
          <w:rFonts w:cstheme="minorHAnsi"/>
        </w:rPr>
        <w:t xml:space="preserve"> that NRC may request from time to time.</w:t>
      </w:r>
    </w:p>
    <w:p w14:paraId="5ACB2921" w14:textId="77777777" w:rsidR="00F04A00" w:rsidRPr="00B14745" w:rsidRDefault="00F04A00" w:rsidP="00AA5A18">
      <w:pPr>
        <w:pStyle w:val="ListParagraph"/>
        <w:numPr>
          <w:ilvl w:val="0"/>
          <w:numId w:val="8"/>
        </w:numPr>
        <w:spacing w:after="0" w:line="240" w:lineRule="auto"/>
        <w:contextualSpacing/>
        <w:jc w:val="both"/>
      </w:pPr>
      <w:r>
        <w:t xml:space="preserve">The consultant is responsible to provide </w:t>
      </w:r>
      <w:r w:rsidRPr="00136F9F">
        <w:rPr>
          <w:b/>
          <w:bCs/>
        </w:rPr>
        <w:t>their own insurance</w:t>
      </w:r>
      <w:r>
        <w:t xml:space="preserve"> and must provide details before a contract will be signed.</w:t>
      </w:r>
    </w:p>
    <w:p w14:paraId="3EF5AFA1" w14:textId="77777777" w:rsidR="00F04A00" w:rsidRDefault="00F04A00" w:rsidP="00AA5A18">
      <w:pPr>
        <w:numPr>
          <w:ilvl w:val="0"/>
          <w:numId w:val="8"/>
        </w:numPr>
        <w:spacing w:after="0" w:line="240" w:lineRule="auto"/>
        <w:jc w:val="both"/>
      </w:pPr>
      <w:r>
        <w:t>If the consultancy requires substituting</w:t>
      </w:r>
      <w:r w:rsidRPr="00406126">
        <w:rPr>
          <w:rFonts w:ascii="Calibri" w:hAnsi="Calibri"/>
        </w:rPr>
        <w:t xml:space="preserve"> the Key Personnel</w:t>
      </w:r>
      <w:r>
        <w:t>, t</w:t>
      </w:r>
      <w:r w:rsidRPr="00406126">
        <w:rPr>
          <w:rFonts w:ascii="Calibri" w:hAnsi="Calibri"/>
        </w:rPr>
        <w:t xml:space="preserve">he </w:t>
      </w:r>
      <w:r w:rsidRPr="00136F9F">
        <w:rPr>
          <w:rFonts w:ascii="Calibri" w:hAnsi="Calibri"/>
          <w:b/>
          <w:bCs/>
        </w:rPr>
        <w:t xml:space="preserve">Consultancy shall </w:t>
      </w:r>
      <w:r w:rsidRPr="00136F9F">
        <w:rPr>
          <w:b/>
          <w:bCs/>
        </w:rPr>
        <w:t>provide details of the subcontracts in their bid</w:t>
      </w:r>
      <w:r>
        <w:t xml:space="preserve">. The consultancy shall </w:t>
      </w:r>
      <w:r w:rsidRPr="00406126">
        <w:rPr>
          <w:rFonts w:ascii="Calibri" w:hAnsi="Calibri"/>
        </w:rPr>
        <w:t xml:space="preserve">notify NRC where it intends to substitute all or part of the services and shall obtain the prior written approval of NRC for all subcontractors. </w:t>
      </w:r>
      <w:r>
        <w:t>The list in annex 2 shall be in line with the received and accepted bid.</w:t>
      </w:r>
    </w:p>
    <w:p w14:paraId="725F88C1" w14:textId="77777777" w:rsidR="00F4071B" w:rsidRDefault="00F4071B" w:rsidP="00EF76E4">
      <w:pPr>
        <w:jc w:val="both"/>
        <w:rPr>
          <w:rFonts w:cstheme="minorHAnsi"/>
          <w:i/>
        </w:rPr>
      </w:pPr>
    </w:p>
    <w:p w14:paraId="560E4913" w14:textId="77777777" w:rsidR="00F4071B" w:rsidRPr="00C4241B" w:rsidRDefault="00F4071B" w:rsidP="00EF76E4">
      <w:pPr>
        <w:jc w:val="both"/>
        <w:rPr>
          <w:rFonts w:cstheme="minorHAnsi"/>
          <w:i/>
        </w:rPr>
      </w:pPr>
      <w:r w:rsidRPr="00C4241B">
        <w:rPr>
          <w:rFonts w:cstheme="minorHAnsi"/>
          <w:i/>
        </w:rPr>
        <w:t xml:space="preserve">Reports should be submitted in Microsoft Word format, in UK English </w:t>
      </w:r>
      <w:r w:rsidRPr="00C4241B">
        <w:rPr>
          <w:rFonts w:cstheme="minorHAnsi"/>
        </w:rPr>
        <w:t>[amend as appropriate]</w:t>
      </w:r>
      <w:r w:rsidRPr="00C4241B">
        <w:rPr>
          <w:rFonts w:cstheme="minorHAnsi"/>
          <w:i/>
        </w:rPr>
        <w:t xml:space="preserve">. All text should be unformatted. Graphs or other graphical devices should be editable (i.e. not pictures). All references must be cited according to convention, and detailed in a bibliography, using the Harvard system as set out in the </w:t>
      </w:r>
      <w:hyperlink r:id="rId12" w:history="1">
        <w:r w:rsidRPr="00C4241B">
          <w:rPr>
            <w:rStyle w:val="Hyperlink"/>
            <w:rFonts w:cstheme="minorHAnsi"/>
            <w:i/>
          </w:rPr>
          <w:t>UNESCO Style Manual</w:t>
        </w:r>
      </w:hyperlink>
      <w:r w:rsidRPr="00C4241B">
        <w:rPr>
          <w:rFonts w:cstheme="minorHAnsi"/>
          <w:i/>
        </w:rPr>
        <w:t>. All verbatim quotations must appear in quotation marks, and must not be of excessive length. All data collected under the consultancy must be submitted with the deliverables, in a widely recognised format such as Microsoft Excel.</w:t>
      </w:r>
    </w:p>
    <w:p w14:paraId="7D164C91" w14:textId="77777777" w:rsidR="00F4071B" w:rsidRDefault="00F4071B" w:rsidP="00EF76E4">
      <w:pPr>
        <w:jc w:val="both"/>
        <w:rPr>
          <w:rFonts w:cstheme="minorHAnsi"/>
          <w:i/>
        </w:rPr>
      </w:pPr>
      <w:r w:rsidRPr="00C4241B">
        <w:rPr>
          <w:rFonts w:cstheme="minorHAnsi"/>
          <w:i/>
        </w:rPr>
        <w:t>Everything submitted to NRC must be the original work of the consultants. Any plagiarism in any form, or any other breach of intellectual property rights, will automatically disqualify the consultant from receiving any further payments under the contract by NRC, and NRC will seek to recover any payments already made.</w:t>
      </w:r>
    </w:p>
    <w:p w14:paraId="5B8461BE" w14:textId="77777777" w:rsidR="00F4071B" w:rsidRPr="00C4241B" w:rsidRDefault="00F4071B" w:rsidP="00C4241B">
      <w:pPr>
        <w:rPr>
          <w:rFonts w:cstheme="minorHAnsi"/>
          <w:i/>
        </w:rPr>
      </w:pPr>
      <w:r w:rsidRPr="25027DAB">
        <w:rPr>
          <w:b/>
          <w:bCs/>
        </w:rPr>
        <w:t>Duties of NRC</w:t>
      </w:r>
    </w:p>
    <w:p w14:paraId="00A694A9" w14:textId="77777777" w:rsidR="0060230D" w:rsidRDefault="63AA8818" w:rsidP="000B7CD4">
      <w:pPr>
        <w:pStyle w:val="ListParagraph"/>
        <w:numPr>
          <w:ilvl w:val="0"/>
          <w:numId w:val="12"/>
        </w:numPr>
        <w:jc w:val="both"/>
      </w:pPr>
      <w:r>
        <w:t xml:space="preserve">NRC </w:t>
      </w:r>
      <w:r w:rsidR="5B4D2A0B">
        <w:t xml:space="preserve">will assign a steering committee </w:t>
      </w:r>
      <w:r w:rsidR="000B7CD4">
        <w:t>that</w:t>
      </w:r>
      <w:r w:rsidR="5B4D2A0B">
        <w:t xml:space="preserve"> will be responsible for the management of this consultancy and for feedback on deliverables according to the progress plan. </w:t>
      </w:r>
      <w:r w:rsidR="1CAADA1C">
        <w:t xml:space="preserve">A dedicated </w:t>
      </w:r>
      <w:r w:rsidR="5B4D2A0B">
        <w:t>focal point</w:t>
      </w:r>
      <w:r w:rsidR="4FDC796F">
        <w:t xml:space="preserve"> from the steering committee will coordinate directly with the consultant throughout the consultancy period. </w:t>
      </w:r>
    </w:p>
    <w:p w14:paraId="11A1DAAF" w14:textId="77777777" w:rsidR="00B14745" w:rsidRDefault="00B14745" w:rsidP="0060230D">
      <w:pPr>
        <w:pStyle w:val="ListParagraph"/>
        <w:numPr>
          <w:ilvl w:val="0"/>
          <w:numId w:val="12"/>
        </w:numPr>
        <w:jc w:val="both"/>
      </w:pPr>
      <w:r>
        <w:t xml:space="preserve">NRC shall be authorized to deduct from each invoice the applicable withholding tax (5% for national consultants and 10% for international consultants) as may be levied from time to time under the </w:t>
      </w:r>
      <w:r>
        <w:lastRenderedPageBreak/>
        <w:t>applicable tax legislation in Jordan, and pay such withholding directly to the tax department. Proof of payment will be provided to the consultant upon request.</w:t>
      </w:r>
    </w:p>
    <w:p w14:paraId="094F2367" w14:textId="77777777" w:rsidR="00206EF8" w:rsidRDefault="00206EF8" w:rsidP="00136F9F">
      <w:pPr>
        <w:pStyle w:val="ListParagraph"/>
        <w:numPr>
          <w:ilvl w:val="0"/>
          <w:numId w:val="12"/>
        </w:numPr>
        <w:jc w:val="both"/>
      </w:pPr>
      <w:r>
        <w:t>NRC will cover only the bank fees charged by its bank. But any other fees such as the intermediary bank fees and the recipient bank fees, if any, should be covered by the consultant</w:t>
      </w:r>
    </w:p>
    <w:p w14:paraId="3C0DCB65" w14:textId="77777777" w:rsidR="00B14745" w:rsidRDefault="00B14745" w:rsidP="00136F9F">
      <w:pPr>
        <w:pStyle w:val="ListParagraph"/>
        <w:numPr>
          <w:ilvl w:val="0"/>
          <w:numId w:val="12"/>
        </w:numPr>
        <w:spacing w:after="0" w:line="240" w:lineRule="auto"/>
        <w:contextualSpacing/>
        <w:jc w:val="both"/>
      </w:pPr>
      <w:r w:rsidRPr="25027DAB">
        <w:rPr>
          <w:b/>
          <w:bCs/>
        </w:rPr>
        <w:t>For international consultants:</w:t>
      </w:r>
      <w:r>
        <w:t xml:space="preserve"> </w:t>
      </w:r>
    </w:p>
    <w:p w14:paraId="7840C0E2" w14:textId="77777777" w:rsidR="00B14745" w:rsidRPr="00EF3A78" w:rsidRDefault="00B14745" w:rsidP="00136F9F">
      <w:pPr>
        <w:pStyle w:val="ListParagraph"/>
        <w:numPr>
          <w:ilvl w:val="0"/>
          <w:numId w:val="7"/>
        </w:numPr>
        <w:spacing w:after="0" w:line="240" w:lineRule="auto"/>
        <w:contextualSpacing/>
        <w:jc w:val="both"/>
      </w:pPr>
      <w:r w:rsidRPr="00EF3A78">
        <w:t xml:space="preserve">Per diem amount for NRC Jordan is 50 USD per day </w:t>
      </w:r>
      <w:r w:rsidR="00206EF8">
        <w:t xml:space="preserve">(subject to deduction of Jordanian withholding tax) </w:t>
      </w:r>
      <w:r w:rsidRPr="00EF3A78">
        <w:t xml:space="preserve">for the days the consultant is working in Jordan </w:t>
      </w:r>
      <w:r w:rsidRPr="00EF3A78">
        <w:rPr>
          <w:rFonts w:cs="Calibri"/>
        </w:rPr>
        <w:t>and submission of receipts will not be required. Alternatively, consultants can include the required per diem in their fees</w:t>
      </w:r>
    </w:p>
    <w:p w14:paraId="6734A8DE" w14:textId="77777777" w:rsidR="00B14745" w:rsidRDefault="00B14745" w:rsidP="00136F9F">
      <w:pPr>
        <w:pStyle w:val="ListParagraph"/>
        <w:numPr>
          <w:ilvl w:val="0"/>
          <w:numId w:val="7"/>
        </w:numPr>
        <w:spacing w:after="0" w:line="240" w:lineRule="auto"/>
        <w:contextualSpacing/>
        <w:jc w:val="both"/>
      </w:pPr>
      <w:r>
        <w:t xml:space="preserve">Accommodation in Amman will be covered by NRC in shared guesthouse facilities of a good standard. Flights, visa and local travel in Jordan will be also be covered by NRC. </w:t>
      </w:r>
    </w:p>
    <w:p w14:paraId="6A3F35C5" w14:textId="77777777" w:rsidR="00B14745" w:rsidRDefault="00B14745" w:rsidP="00136F9F">
      <w:pPr>
        <w:pStyle w:val="ListParagraph"/>
        <w:numPr>
          <w:ilvl w:val="0"/>
          <w:numId w:val="7"/>
        </w:numPr>
        <w:spacing w:after="0" w:line="240" w:lineRule="auto"/>
        <w:contextualSpacing/>
        <w:jc w:val="both"/>
      </w:pPr>
      <w:r>
        <w:t xml:space="preserve">Flights will be booked through the NRC Travel agent and paid for directly by NRC through the NRC travel agent. Alternatively, </w:t>
      </w:r>
      <w:r w:rsidRPr="00CC2055">
        <w:t>International travel is booked by the Consultant and later reimbursed based on receipts. The total amount must not exceed the amount specified in the budget. The Consultant will cover the eventual extra costs</w:t>
      </w:r>
    </w:p>
    <w:p w14:paraId="15FEC0B4" w14:textId="77777777" w:rsidR="00B14745" w:rsidRDefault="00B14745" w:rsidP="00136F9F">
      <w:pPr>
        <w:pStyle w:val="ListParagraph"/>
        <w:numPr>
          <w:ilvl w:val="0"/>
          <w:numId w:val="7"/>
        </w:numPr>
        <w:spacing w:after="0" w:line="240" w:lineRule="auto"/>
        <w:contextualSpacing/>
        <w:jc w:val="both"/>
      </w:pPr>
      <w:r>
        <w:t xml:space="preserve">NRC shall reimburse visa fees based on receipts provided by the consultant </w:t>
      </w:r>
    </w:p>
    <w:p w14:paraId="69336FB6" w14:textId="77777777" w:rsidR="00B14745" w:rsidRDefault="00B14745" w:rsidP="00136F9F">
      <w:pPr>
        <w:pStyle w:val="ListParagraph"/>
        <w:numPr>
          <w:ilvl w:val="0"/>
          <w:numId w:val="12"/>
        </w:numPr>
        <w:spacing w:after="0" w:line="240" w:lineRule="auto"/>
        <w:contextualSpacing/>
        <w:jc w:val="both"/>
      </w:pPr>
      <w:r w:rsidRPr="25027DAB">
        <w:rPr>
          <w:b/>
          <w:bCs/>
        </w:rPr>
        <w:t>For national consultants:</w:t>
      </w:r>
      <w:r>
        <w:t xml:space="preserve"> </w:t>
      </w:r>
    </w:p>
    <w:p w14:paraId="75518D67" w14:textId="77777777" w:rsidR="00EF3A78" w:rsidRPr="00EF3A78" w:rsidRDefault="00B14745" w:rsidP="00136F9F">
      <w:pPr>
        <w:pStyle w:val="ListParagraph"/>
        <w:numPr>
          <w:ilvl w:val="1"/>
          <w:numId w:val="9"/>
        </w:numPr>
        <w:spacing w:after="0" w:line="240" w:lineRule="auto"/>
        <w:contextualSpacing/>
        <w:jc w:val="both"/>
        <w:rPr>
          <w:rFonts w:cs="Calibri"/>
          <w:sz w:val="24"/>
          <w:szCs w:val="24"/>
        </w:rPr>
      </w:pPr>
      <w:r>
        <w:rPr>
          <w:rFonts w:cs="Calibri"/>
        </w:rPr>
        <w:t>Per diem will not be paid separately, this must be included in the daily rate</w:t>
      </w:r>
    </w:p>
    <w:p w14:paraId="54AAA506" w14:textId="77777777" w:rsidR="00B14745" w:rsidRPr="0066796D" w:rsidRDefault="00B14745" w:rsidP="00136F9F">
      <w:pPr>
        <w:pStyle w:val="ListParagraph"/>
        <w:numPr>
          <w:ilvl w:val="1"/>
          <w:numId w:val="9"/>
        </w:numPr>
        <w:spacing w:after="0" w:line="240" w:lineRule="auto"/>
        <w:contextualSpacing/>
        <w:jc w:val="both"/>
      </w:pPr>
      <w:r w:rsidRPr="00EF3A78">
        <w:rPr>
          <w:rFonts w:cs="Calibri"/>
        </w:rPr>
        <w:t>Accommodation will not be provided under this consultancy</w:t>
      </w:r>
    </w:p>
    <w:p w14:paraId="3189B3B8" w14:textId="77777777" w:rsidR="00F4071B" w:rsidRDefault="00F4071B" w:rsidP="00136F9F">
      <w:pPr>
        <w:jc w:val="both"/>
        <w:rPr>
          <w:rFonts w:cstheme="minorHAnsi"/>
        </w:rPr>
      </w:pPr>
    </w:p>
    <w:p w14:paraId="0AC059D6" w14:textId="77777777" w:rsidR="009A56C6" w:rsidRPr="00AC5D1A" w:rsidRDefault="009A56C6" w:rsidP="00136F9F">
      <w:pPr>
        <w:jc w:val="both"/>
        <w:rPr>
          <w:b/>
          <w:bCs/>
        </w:rPr>
      </w:pPr>
      <w:r w:rsidRPr="00AC5D1A">
        <w:rPr>
          <w:b/>
          <w:bCs/>
        </w:rPr>
        <w:t>Experience and qualifications</w:t>
      </w:r>
    </w:p>
    <w:p w14:paraId="10431EDE" w14:textId="77777777" w:rsidR="00377A0F" w:rsidRDefault="00377A0F" w:rsidP="00136F9F">
      <w:pPr>
        <w:spacing w:after="0" w:line="240" w:lineRule="auto"/>
        <w:jc w:val="both"/>
      </w:pPr>
      <w:r>
        <w:t>NRC seeks expressions of interest from individuals or joint applications, ideally with the following skills/qualifications and expertise:</w:t>
      </w:r>
    </w:p>
    <w:p w14:paraId="7A03DFFF" w14:textId="77777777" w:rsidR="00BD0271" w:rsidRDefault="00BD0271" w:rsidP="00136F9F">
      <w:pPr>
        <w:spacing w:after="0" w:line="240" w:lineRule="auto"/>
        <w:jc w:val="both"/>
      </w:pPr>
    </w:p>
    <w:p w14:paraId="01B52011" w14:textId="77777777" w:rsidR="00D7480E" w:rsidRDefault="009A56C6" w:rsidP="00136F9F">
      <w:pPr>
        <w:pStyle w:val="ListParagraph"/>
        <w:numPr>
          <w:ilvl w:val="0"/>
          <w:numId w:val="19"/>
        </w:numPr>
        <w:spacing w:after="0" w:line="240" w:lineRule="auto"/>
        <w:jc w:val="both"/>
      </w:pPr>
      <w:r>
        <w:t xml:space="preserve">Post-graduate degree in a relevant field in </w:t>
      </w:r>
      <w:r w:rsidR="00D7480E">
        <w:t xml:space="preserve">the </w:t>
      </w:r>
      <w:r>
        <w:t xml:space="preserve">humanities </w:t>
      </w:r>
      <w:r w:rsidR="00D7480E">
        <w:t>or social sciences</w:t>
      </w:r>
      <w:r w:rsidR="00136F9F">
        <w:t>.</w:t>
      </w:r>
      <w:r w:rsidR="00377A0F">
        <w:t xml:space="preserve"> </w:t>
      </w:r>
    </w:p>
    <w:p w14:paraId="1C9BEB58" w14:textId="77777777" w:rsidR="00BD0271" w:rsidRDefault="0074001E" w:rsidP="00AC5D1A">
      <w:pPr>
        <w:pStyle w:val="ListParagraph"/>
        <w:numPr>
          <w:ilvl w:val="0"/>
          <w:numId w:val="19"/>
        </w:numPr>
        <w:spacing w:after="0" w:line="240" w:lineRule="auto"/>
        <w:jc w:val="both"/>
      </w:pPr>
      <w:r>
        <w:t>P</w:t>
      </w:r>
      <w:r w:rsidR="00377A0F">
        <w:t xml:space="preserve">roven experience in conducting </w:t>
      </w:r>
      <w:r w:rsidR="00BD0271">
        <w:t xml:space="preserve">field level programmatic </w:t>
      </w:r>
      <w:r w:rsidR="00377A0F">
        <w:t>evaluations, partic</w:t>
      </w:r>
      <w:r>
        <w:t>ularly utili</w:t>
      </w:r>
      <w:r w:rsidR="00AC5D1A">
        <w:t>z</w:t>
      </w:r>
      <w:r>
        <w:t>ation and learning</w:t>
      </w:r>
      <w:r w:rsidR="00AC5D1A">
        <w:t>-</w:t>
      </w:r>
      <w:r w:rsidR="00136F9F">
        <w:t>focused evaluations.</w:t>
      </w:r>
    </w:p>
    <w:p w14:paraId="24A0472B" w14:textId="77777777" w:rsidR="00377A0F" w:rsidRDefault="0074001E" w:rsidP="00136F9F">
      <w:pPr>
        <w:pStyle w:val="ListParagraph"/>
        <w:numPr>
          <w:ilvl w:val="0"/>
          <w:numId w:val="19"/>
        </w:numPr>
        <w:spacing w:after="0" w:line="240" w:lineRule="auto"/>
        <w:jc w:val="both"/>
      </w:pPr>
      <w:r>
        <w:t>E</w:t>
      </w:r>
      <w:r w:rsidR="00377A0F">
        <w:t>xpertise in participatory qualita</w:t>
      </w:r>
      <w:r w:rsidR="00136F9F">
        <w:t>tive data collection techniques.</w:t>
      </w:r>
      <w:r w:rsidR="00377A0F">
        <w:t xml:space="preserve"> </w:t>
      </w:r>
    </w:p>
    <w:p w14:paraId="33D70FF1" w14:textId="77777777" w:rsidR="00377A0F" w:rsidRDefault="0074001E" w:rsidP="00136F9F">
      <w:pPr>
        <w:pStyle w:val="ListParagraph"/>
        <w:numPr>
          <w:ilvl w:val="0"/>
          <w:numId w:val="19"/>
        </w:numPr>
        <w:spacing w:after="0" w:line="240" w:lineRule="auto"/>
        <w:jc w:val="both"/>
      </w:pPr>
      <w:r>
        <w:t>Background or sound practical understanding of education/youth programming.</w:t>
      </w:r>
    </w:p>
    <w:p w14:paraId="5C8B69CA" w14:textId="77777777" w:rsidR="00377A0F" w:rsidRDefault="00377A0F" w:rsidP="00136F9F">
      <w:pPr>
        <w:spacing w:after="0" w:line="240" w:lineRule="auto"/>
        <w:jc w:val="both"/>
      </w:pPr>
    </w:p>
    <w:p w14:paraId="6B665108" w14:textId="77777777" w:rsidR="00377A0F" w:rsidRPr="00136F9F" w:rsidRDefault="00377A0F" w:rsidP="00136F9F">
      <w:pPr>
        <w:spacing w:after="0" w:line="240" w:lineRule="auto"/>
        <w:jc w:val="both"/>
        <w:rPr>
          <w:b/>
          <w:bCs/>
        </w:rPr>
      </w:pPr>
      <w:r w:rsidRPr="00136F9F">
        <w:rPr>
          <w:b/>
          <w:bCs/>
        </w:rPr>
        <w:t xml:space="preserve">Additional, desirable </w:t>
      </w:r>
      <w:r w:rsidR="00136F9F" w:rsidRPr="00136F9F">
        <w:rPr>
          <w:b/>
          <w:bCs/>
        </w:rPr>
        <w:t>knowledge</w:t>
      </w:r>
      <w:r w:rsidRPr="00136F9F">
        <w:rPr>
          <w:b/>
          <w:bCs/>
        </w:rPr>
        <w:t xml:space="preserve"> includes:</w:t>
      </w:r>
    </w:p>
    <w:p w14:paraId="4F3F9A43" w14:textId="77777777" w:rsidR="00377A0F" w:rsidRDefault="00377A0F" w:rsidP="00136F9F">
      <w:pPr>
        <w:pStyle w:val="ListParagraph"/>
        <w:numPr>
          <w:ilvl w:val="0"/>
          <w:numId w:val="22"/>
        </w:numPr>
        <w:spacing w:after="0" w:line="240" w:lineRule="auto"/>
        <w:ind w:left="360"/>
        <w:jc w:val="both"/>
      </w:pPr>
      <w:r>
        <w:t xml:space="preserve">understanding of refugee youth development; </w:t>
      </w:r>
    </w:p>
    <w:p w14:paraId="560DEE01" w14:textId="77777777" w:rsidR="00BF64FD" w:rsidRDefault="00136F9F" w:rsidP="00136F9F">
      <w:pPr>
        <w:pStyle w:val="ListParagraph"/>
        <w:numPr>
          <w:ilvl w:val="0"/>
          <w:numId w:val="22"/>
        </w:numPr>
        <w:spacing w:after="0" w:line="240" w:lineRule="auto"/>
        <w:ind w:left="360"/>
        <w:jc w:val="both"/>
      </w:pPr>
      <w:r>
        <w:t>Understanding</w:t>
      </w:r>
      <w:r w:rsidR="00377A0F">
        <w:t xml:space="preserve"> of global and regional trends and initiatives on youth.</w:t>
      </w:r>
    </w:p>
    <w:p w14:paraId="6F708B41" w14:textId="77777777" w:rsidR="00136F9F" w:rsidRDefault="00136F9F" w:rsidP="00136F9F">
      <w:pPr>
        <w:pStyle w:val="ListParagraph"/>
        <w:numPr>
          <w:ilvl w:val="0"/>
          <w:numId w:val="0"/>
        </w:numPr>
        <w:spacing w:after="0" w:line="240" w:lineRule="auto"/>
        <w:ind w:left="360"/>
        <w:jc w:val="both"/>
      </w:pPr>
    </w:p>
    <w:p w14:paraId="4B9B3639" w14:textId="77777777" w:rsidR="00BF64FD" w:rsidRPr="00136F9F" w:rsidRDefault="00377A0F" w:rsidP="00136F9F">
      <w:pPr>
        <w:spacing w:after="0" w:line="240" w:lineRule="auto"/>
        <w:ind w:left="360" w:hanging="360"/>
        <w:jc w:val="both"/>
        <w:rPr>
          <w:b/>
          <w:bCs/>
        </w:rPr>
      </w:pPr>
      <w:r w:rsidRPr="00136F9F">
        <w:rPr>
          <w:b/>
          <w:bCs/>
        </w:rPr>
        <w:t>Necessary Skills:</w:t>
      </w:r>
    </w:p>
    <w:p w14:paraId="1C7BFB0E" w14:textId="77777777" w:rsidR="00BF64FD" w:rsidRDefault="00377A0F" w:rsidP="00136F9F">
      <w:pPr>
        <w:pStyle w:val="ListParagraph"/>
        <w:numPr>
          <w:ilvl w:val="0"/>
          <w:numId w:val="22"/>
        </w:numPr>
        <w:spacing w:after="0" w:line="240" w:lineRule="auto"/>
        <w:ind w:left="360"/>
        <w:jc w:val="both"/>
      </w:pPr>
      <w:r>
        <w:t>fluency in written and spoken English is required;</w:t>
      </w:r>
    </w:p>
    <w:p w14:paraId="5B5B1376" w14:textId="77777777" w:rsidR="00BF64FD" w:rsidRDefault="00377A0F" w:rsidP="00136F9F">
      <w:pPr>
        <w:pStyle w:val="ListParagraph"/>
        <w:numPr>
          <w:ilvl w:val="0"/>
          <w:numId w:val="22"/>
        </w:numPr>
        <w:spacing w:after="0" w:line="240" w:lineRule="auto"/>
        <w:ind w:left="360"/>
        <w:jc w:val="both"/>
      </w:pPr>
      <w:r>
        <w:t xml:space="preserve">prior experience </w:t>
      </w:r>
      <w:r w:rsidR="0074001E">
        <w:t>working in/on the</w:t>
      </w:r>
      <w:r>
        <w:t xml:space="preserve"> Middl</w:t>
      </w:r>
      <w:r w:rsidR="0074001E">
        <w:t>e East</w:t>
      </w:r>
    </w:p>
    <w:p w14:paraId="50068BBB" w14:textId="77777777" w:rsidR="00BF64FD" w:rsidRDefault="00377A0F" w:rsidP="00136F9F">
      <w:pPr>
        <w:pStyle w:val="ListParagraph"/>
        <w:numPr>
          <w:ilvl w:val="0"/>
          <w:numId w:val="22"/>
        </w:numPr>
        <w:spacing w:after="0" w:line="240" w:lineRule="auto"/>
        <w:ind w:left="360"/>
        <w:jc w:val="both"/>
      </w:pPr>
      <w:r>
        <w:t>proven experience of managing evaluat</w:t>
      </w:r>
      <w:r w:rsidR="0074001E">
        <w:t>ions of humanitarian projects, preferably in</w:t>
      </w:r>
      <w:r>
        <w:t xml:space="preserve"> camp settings;</w:t>
      </w:r>
    </w:p>
    <w:p w14:paraId="262B540F" w14:textId="77777777" w:rsidR="00BF64FD" w:rsidRDefault="00377A0F" w:rsidP="00136F9F">
      <w:pPr>
        <w:pStyle w:val="ListParagraph"/>
        <w:numPr>
          <w:ilvl w:val="0"/>
          <w:numId w:val="22"/>
        </w:numPr>
        <w:spacing w:after="0" w:line="240" w:lineRule="auto"/>
        <w:ind w:left="360"/>
        <w:jc w:val="both"/>
      </w:pPr>
      <w:r>
        <w:t>experience of designing qualitative data collection methods and of managing participatory and learning focused evaluations;</w:t>
      </w:r>
    </w:p>
    <w:p w14:paraId="67449618" w14:textId="77777777" w:rsidR="00377A0F" w:rsidRPr="00377A0F" w:rsidRDefault="00136F9F" w:rsidP="00136F9F">
      <w:pPr>
        <w:pStyle w:val="ListParagraph"/>
        <w:numPr>
          <w:ilvl w:val="0"/>
          <w:numId w:val="22"/>
        </w:numPr>
        <w:spacing w:after="0" w:line="240" w:lineRule="auto"/>
        <w:ind w:left="360"/>
        <w:jc w:val="both"/>
      </w:pPr>
      <w:r>
        <w:t>Excellent</w:t>
      </w:r>
      <w:r w:rsidR="00377A0F">
        <w:t xml:space="preserve"> team working and communication skills, flexibility and good organisati</w:t>
      </w:r>
      <w:r w:rsidR="0074001E">
        <w:t>onal</w:t>
      </w:r>
      <w:r w:rsidR="00377A0F">
        <w:t xml:space="preserve"> skills.</w:t>
      </w:r>
    </w:p>
    <w:p w14:paraId="4D3EFDF8" w14:textId="77777777" w:rsidR="00377A0F" w:rsidRDefault="00377A0F" w:rsidP="00136F9F">
      <w:pPr>
        <w:spacing w:after="0" w:line="240" w:lineRule="auto"/>
        <w:jc w:val="both"/>
        <w:rPr>
          <w:rFonts w:cstheme="minorHAnsi"/>
        </w:rPr>
      </w:pPr>
    </w:p>
    <w:p w14:paraId="04A1F87A" w14:textId="77777777" w:rsidR="00F04A00" w:rsidRDefault="00F04A00" w:rsidP="00EF76E4">
      <w:pPr>
        <w:spacing w:after="0" w:line="240" w:lineRule="auto"/>
        <w:jc w:val="both"/>
        <w:rPr>
          <w:rFonts w:eastAsia="Times New Roman"/>
          <w:lang w:eastAsia="en-GB"/>
        </w:rPr>
      </w:pPr>
      <w:r w:rsidRPr="00F04A00">
        <w:rPr>
          <w:rFonts w:eastAsia="Times New Roman"/>
          <w:lang w:eastAsia="en-GB"/>
        </w:rPr>
        <w:t>The application must be sent in PDF files as an attachment to the resume. Only shortlisted candidates will be contacted. </w:t>
      </w:r>
    </w:p>
    <w:p w14:paraId="54C60A94" w14:textId="77777777" w:rsidR="00AC5D1A" w:rsidRPr="00F04A00" w:rsidRDefault="00AC5D1A" w:rsidP="00EF76E4">
      <w:pPr>
        <w:spacing w:after="0" w:line="240" w:lineRule="auto"/>
        <w:jc w:val="both"/>
        <w:rPr>
          <w:rFonts w:cs="Calibri"/>
        </w:rPr>
      </w:pPr>
    </w:p>
    <w:p w14:paraId="4C90BAB0" w14:textId="77777777" w:rsidR="00F04A00" w:rsidRPr="00AC5D1A" w:rsidRDefault="00F04A00" w:rsidP="00EF76E4">
      <w:pPr>
        <w:spacing w:after="0" w:line="240" w:lineRule="auto"/>
        <w:ind w:left="360" w:hanging="360"/>
        <w:jc w:val="both"/>
        <w:rPr>
          <w:rFonts w:cs="Calibri"/>
          <w:b/>
          <w:bCs/>
        </w:rPr>
      </w:pPr>
      <w:r w:rsidRPr="00AC5D1A">
        <w:rPr>
          <w:rFonts w:cs="Calibri"/>
          <w:b/>
          <w:bCs/>
        </w:rPr>
        <w:t>Applications should include the following:</w:t>
      </w:r>
    </w:p>
    <w:p w14:paraId="6756D37E" w14:textId="77777777" w:rsidR="00F04A00" w:rsidRPr="00746EE7" w:rsidRDefault="00F04A00" w:rsidP="00AB5FAC">
      <w:pPr>
        <w:pStyle w:val="ListParagraph"/>
        <w:numPr>
          <w:ilvl w:val="0"/>
          <w:numId w:val="10"/>
        </w:numPr>
        <w:spacing w:after="0" w:line="240" w:lineRule="auto"/>
        <w:contextualSpacing/>
        <w:jc w:val="both"/>
        <w:rPr>
          <w:rFonts w:cs="Calibri"/>
        </w:rPr>
      </w:pPr>
      <w:r w:rsidRPr="1E627BB5">
        <w:rPr>
          <w:rFonts w:cs="Calibri"/>
        </w:rPr>
        <w:t>CV</w:t>
      </w:r>
      <w:r w:rsidR="45A609BC" w:rsidRPr="1E627BB5">
        <w:rPr>
          <w:rFonts w:cs="Calibri"/>
        </w:rPr>
        <w:t xml:space="preserve"> (max 3 pages)</w:t>
      </w:r>
    </w:p>
    <w:p w14:paraId="08FC75A6" w14:textId="77777777" w:rsidR="00F04A00" w:rsidRPr="00746EE7" w:rsidRDefault="00F04A00" w:rsidP="00AB5FAC">
      <w:pPr>
        <w:pStyle w:val="ListParagraph"/>
        <w:numPr>
          <w:ilvl w:val="0"/>
          <w:numId w:val="10"/>
        </w:numPr>
        <w:spacing w:after="0" w:line="240" w:lineRule="auto"/>
        <w:contextualSpacing/>
        <w:jc w:val="both"/>
        <w:rPr>
          <w:rFonts w:cs="Calibri"/>
        </w:rPr>
      </w:pPr>
      <w:r w:rsidRPr="1E627BB5">
        <w:rPr>
          <w:rFonts w:cs="Calibri"/>
        </w:rPr>
        <w:t>Cover Letter</w:t>
      </w:r>
      <w:r w:rsidR="7BC699DF" w:rsidRPr="1E627BB5">
        <w:rPr>
          <w:rFonts w:cs="Calibri"/>
        </w:rPr>
        <w:t xml:space="preserve"> (max 1 page)</w:t>
      </w:r>
    </w:p>
    <w:p w14:paraId="583A11DB" w14:textId="77777777" w:rsidR="3FBC4BAC" w:rsidRDefault="00D909CF" w:rsidP="00D909CF">
      <w:pPr>
        <w:pStyle w:val="ListParagraph"/>
        <w:numPr>
          <w:ilvl w:val="0"/>
          <w:numId w:val="10"/>
        </w:numPr>
        <w:spacing w:after="0" w:line="240" w:lineRule="auto"/>
        <w:jc w:val="both"/>
      </w:pPr>
      <w:r>
        <w:rPr>
          <w:rFonts w:cs="Calibri"/>
        </w:rPr>
        <w:t>Technical proposal; p</w:t>
      </w:r>
      <w:r w:rsidR="3FBC4BAC" w:rsidRPr="1E627BB5">
        <w:rPr>
          <w:rFonts w:cs="Calibri"/>
        </w:rPr>
        <w:t>roject proposed methodology</w:t>
      </w:r>
      <w:r w:rsidR="3E4E5F8F" w:rsidRPr="1E627BB5">
        <w:rPr>
          <w:rFonts w:cs="Calibri"/>
        </w:rPr>
        <w:t xml:space="preserve"> (max 2 pages)</w:t>
      </w:r>
    </w:p>
    <w:p w14:paraId="46CBF35F" w14:textId="77777777" w:rsidR="00F04A00" w:rsidRPr="00746EE7" w:rsidRDefault="00F04A00" w:rsidP="00AB5FAC">
      <w:pPr>
        <w:pStyle w:val="ListParagraph"/>
        <w:numPr>
          <w:ilvl w:val="0"/>
          <w:numId w:val="10"/>
        </w:numPr>
        <w:spacing w:after="0" w:line="240" w:lineRule="auto"/>
        <w:contextualSpacing/>
        <w:jc w:val="both"/>
        <w:rPr>
          <w:rFonts w:cs="Calibri"/>
        </w:rPr>
      </w:pPr>
      <w:r w:rsidRPr="1E627BB5">
        <w:rPr>
          <w:rFonts w:cs="Calibri"/>
        </w:rPr>
        <w:t>Sample of previous consultancy report/lessons learned/evaluation document</w:t>
      </w:r>
      <w:r w:rsidR="39666353" w:rsidRPr="1E627BB5">
        <w:rPr>
          <w:rFonts w:cs="Calibri"/>
        </w:rPr>
        <w:t xml:space="preserve"> (max 2 relevant samples)</w:t>
      </w:r>
    </w:p>
    <w:p w14:paraId="1944642C" w14:textId="77777777" w:rsidR="00F04A00" w:rsidRPr="00746EE7" w:rsidRDefault="00F04A00" w:rsidP="00AB5FAC">
      <w:pPr>
        <w:pStyle w:val="ListParagraph"/>
        <w:numPr>
          <w:ilvl w:val="0"/>
          <w:numId w:val="10"/>
        </w:numPr>
        <w:spacing w:after="0" w:line="240" w:lineRule="auto"/>
        <w:contextualSpacing/>
        <w:jc w:val="both"/>
        <w:rPr>
          <w:rFonts w:cs="Calibri"/>
        </w:rPr>
      </w:pPr>
      <w:r w:rsidRPr="00746EE7">
        <w:rPr>
          <w:rFonts w:cs="Calibri"/>
        </w:rPr>
        <w:t xml:space="preserve">Proposed budget, detailing consultancy fees </w:t>
      </w:r>
    </w:p>
    <w:p w14:paraId="6FC3AB99" w14:textId="77777777" w:rsidR="002B5EF9" w:rsidRDefault="002B5EF9" w:rsidP="00962662">
      <w:pPr>
        <w:spacing w:after="0" w:line="240" w:lineRule="auto"/>
        <w:jc w:val="both"/>
        <w:rPr>
          <w:rFonts w:cs="Calibri"/>
          <w:b/>
          <w:bCs/>
        </w:rPr>
      </w:pPr>
    </w:p>
    <w:p w14:paraId="409AEE97" w14:textId="77777777" w:rsidR="00746EE7" w:rsidRDefault="00000C9B" w:rsidP="00000C9B">
      <w:pPr>
        <w:spacing w:after="0" w:line="240" w:lineRule="auto"/>
        <w:jc w:val="both"/>
        <w:rPr>
          <w:rFonts w:cs="Calibri"/>
          <w:b/>
          <w:bCs/>
        </w:rPr>
      </w:pPr>
      <w:r>
        <w:rPr>
          <w:rFonts w:cs="Calibri"/>
          <w:b/>
          <w:bCs/>
        </w:rPr>
        <w:t>Proposals</w:t>
      </w:r>
      <w:r w:rsidR="00746EE7" w:rsidRPr="00B61B37">
        <w:rPr>
          <w:rFonts w:cs="Calibri"/>
          <w:b/>
          <w:bCs/>
        </w:rPr>
        <w:t xml:space="preserve"> should be submitted by </w:t>
      </w:r>
      <w:r w:rsidR="00AC5D1A" w:rsidRPr="00AC5D1A">
        <w:rPr>
          <w:rFonts w:cs="Calibri"/>
          <w:b/>
          <w:bCs/>
        </w:rPr>
        <w:t>Tuesday, 25</w:t>
      </w:r>
      <w:r w:rsidR="00AC5D1A" w:rsidRPr="00000C9B">
        <w:rPr>
          <w:rFonts w:cs="Calibri"/>
          <w:b/>
          <w:bCs/>
          <w:vertAlign w:val="superscript"/>
        </w:rPr>
        <w:t>th</w:t>
      </w:r>
      <w:r>
        <w:rPr>
          <w:rFonts w:cs="Calibri"/>
          <w:b/>
          <w:bCs/>
        </w:rPr>
        <w:t xml:space="preserve"> </w:t>
      </w:r>
      <w:r w:rsidR="00AC5D1A" w:rsidRPr="00AC5D1A">
        <w:rPr>
          <w:rFonts w:cs="Calibri"/>
          <w:b/>
          <w:bCs/>
        </w:rPr>
        <w:t>Feb 202</w:t>
      </w:r>
      <w:r>
        <w:rPr>
          <w:rFonts w:cs="Calibri"/>
          <w:b/>
          <w:bCs/>
        </w:rPr>
        <w:t>0</w:t>
      </w:r>
      <w:r w:rsidR="00AC5D1A">
        <w:rPr>
          <w:rFonts w:cs="Calibri"/>
          <w:b/>
          <w:bCs/>
        </w:rPr>
        <w:t xml:space="preserve"> </w:t>
      </w:r>
      <w:r w:rsidR="00746EE7" w:rsidRPr="00B61B37">
        <w:rPr>
          <w:rFonts w:cs="Calibri"/>
          <w:b/>
          <w:bCs/>
        </w:rPr>
        <w:t xml:space="preserve">strictly through </w:t>
      </w:r>
      <w:r w:rsidR="00AC5D1A">
        <w:rPr>
          <w:rFonts w:cs="Calibri"/>
          <w:b/>
          <w:bCs/>
        </w:rPr>
        <w:t xml:space="preserve">the </w:t>
      </w:r>
      <w:r w:rsidR="00746EE7" w:rsidRPr="00962662">
        <w:rPr>
          <w:rFonts w:cs="Calibri"/>
          <w:b/>
          <w:bCs/>
        </w:rPr>
        <w:t xml:space="preserve">email address: </w:t>
      </w:r>
      <w:hyperlink r:id="rId13" w:history="1">
        <w:r w:rsidR="00746EE7" w:rsidRPr="00962662">
          <w:rPr>
            <w:rStyle w:val="Hyperlink"/>
            <w:rFonts w:cs="Calibri"/>
            <w:b/>
            <w:bCs/>
          </w:rPr>
          <w:t>jordan.procurement@nrc.no</w:t>
        </w:r>
      </w:hyperlink>
    </w:p>
    <w:p w14:paraId="12BFE0D0" w14:textId="77777777" w:rsidR="00746EE7" w:rsidRPr="00B61B37" w:rsidRDefault="00746EE7" w:rsidP="002B5EF9">
      <w:pPr>
        <w:spacing w:after="0" w:line="240" w:lineRule="auto"/>
        <w:jc w:val="both"/>
        <w:rPr>
          <w:rFonts w:cs="Calibri"/>
          <w:b/>
          <w:bCs/>
        </w:rPr>
      </w:pPr>
    </w:p>
    <w:p w14:paraId="662049C0" w14:textId="77777777" w:rsidR="00746EE7" w:rsidRPr="00B61B37" w:rsidRDefault="00746EE7" w:rsidP="002B5EF9">
      <w:pPr>
        <w:spacing w:after="0" w:line="240" w:lineRule="auto"/>
        <w:ind w:left="360" w:hanging="360"/>
        <w:jc w:val="both"/>
        <w:rPr>
          <w:rFonts w:cs="Calibri"/>
          <w:b/>
          <w:bCs/>
        </w:rPr>
      </w:pPr>
      <w:r w:rsidRPr="00B61B37">
        <w:rPr>
          <w:rFonts w:cs="Calibri"/>
          <w:b/>
          <w:bCs/>
        </w:rPr>
        <w:t>Failure to meet the closing date and manner of submission will result in the bid being rejected.</w:t>
      </w:r>
    </w:p>
    <w:p w14:paraId="7FBA41CF" w14:textId="77777777" w:rsidR="3827D1DB" w:rsidRDefault="3827D1DB" w:rsidP="002B5EF9">
      <w:pPr>
        <w:spacing w:after="0"/>
        <w:jc w:val="both"/>
        <w:rPr>
          <w:rFonts w:eastAsiaTheme="minorEastAsia"/>
          <w:b/>
          <w:bCs/>
          <w:szCs w:val="20"/>
        </w:rPr>
      </w:pPr>
      <w:r w:rsidRPr="1E627BB5">
        <w:rPr>
          <w:rFonts w:eastAsiaTheme="minorEastAsia"/>
          <w:b/>
          <w:bCs/>
          <w:szCs w:val="20"/>
        </w:rPr>
        <w:lastRenderedPageBreak/>
        <w:t>Evaluation criteria</w:t>
      </w:r>
    </w:p>
    <w:p w14:paraId="277B9418" w14:textId="77777777" w:rsidR="1E627BB5" w:rsidRDefault="1E627BB5" w:rsidP="002B5EF9">
      <w:pPr>
        <w:spacing w:after="0"/>
        <w:jc w:val="both"/>
        <w:rPr>
          <w:rFonts w:eastAsiaTheme="minorEastAsia"/>
          <w:b/>
          <w:bCs/>
          <w:szCs w:val="20"/>
        </w:rPr>
      </w:pPr>
    </w:p>
    <w:p w14:paraId="4AED13CA" w14:textId="77777777" w:rsidR="3827D1DB" w:rsidRDefault="3827D1DB" w:rsidP="002B5EF9">
      <w:pPr>
        <w:spacing w:after="0"/>
        <w:jc w:val="both"/>
        <w:rPr>
          <w:rFonts w:eastAsiaTheme="minorEastAsia"/>
          <w:szCs w:val="20"/>
        </w:rPr>
      </w:pPr>
      <w:r w:rsidRPr="1E627BB5">
        <w:rPr>
          <w:rFonts w:eastAsiaTheme="minorEastAsia"/>
          <w:szCs w:val="20"/>
        </w:rPr>
        <w:t>NRC is not bound to select any of the companies/individuals who submitted bids and does not bind itself to select the lowest price offer.</w:t>
      </w:r>
    </w:p>
    <w:p w14:paraId="041D19A2" w14:textId="77777777" w:rsidR="002B5EF9" w:rsidRDefault="002B5EF9" w:rsidP="002B5EF9">
      <w:pPr>
        <w:spacing w:after="0"/>
        <w:jc w:val="both"/>
        <w:rPr>
          <w:rFonts w:eastAsiaTheme="minorEastAsia"/>
          <w:szCs w:val="20"/>
        </w:rPr>
      </w:pPr>
    </w:p>
    <w:p w14:paraId="6B6D08E2" w14:textId="77777777" w:rsidR="3827D1DB" w:rsidRDefault="3827D1DB" w:rsidP="002B5EF9">
      <w:pPr>
        <w:spacing w:after="0"/>
        <w:jc w:val="both"/>
        <w:rPr>
          <w:rFonts w:eastAsiaTheme="minorEastAsia"/>
          <w:szCs w:val="20"/>
        </w:rPr>
      </w:pPr>
      <w:r w:rsidRPr="1E627BB5">
        <w:rPr>
          <w:rFonts w:eastAsiaTheme="minorEastAsia"/>
          <w:szCs w:val="20"/>
        </w:rPr>
        <w:t>NRC will award the consultancy contract after evaluation based on the following themes and prioritisations:</w:t>
      </w:r>
    </w:p>
    <w:p w14:paraId="50FAA64F" w14:textId="77777777" w:rsidR="002B5EF9" w:rsidRDefault="002B5EF9" w:rsidP="002B5EF9">
      <w:pPr>
        <w:spacing w:after="0"/>
        <w:ind w:left="360" w:hanging="360"/>
        <w:jc w:val="both"/>
        <w:rPr>
          <w:rFonts w:eastAsiaTheme="minorEastAsia"/>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5"/>
        <w:gridCol w:w="385"/>
        <w:gridCol w:w="1146"/>
      </w:tblGrid>
      <w:tr w:rsidR="002B5EF9" w14:paraId="55525BD1" w14:textId="77777777" w:rsidTr="003202E1">
        <w:tc>
          <w:tcPr>
            <w:tcW w:w="4152" w:type="pct"/>
          </w:tcPr>
          <w:p w14:paraId="3ACB073B" w14:textId="77777777" w:rsidR="002B5EF9" w:rsidRPr="002B5EF9" w:rsidRDefault="002B5EF9" w:rsidP="002B5EF9">
            <w:pPr>
              <w:jc w:val="both"/>
              <w:rPr>
                <w:rFonts w:eastAsiaTheme="minorEastAsia"/>
                <w:b/>
                <w:bCs/>
                <w:szCs w:val="20"/>
              </w:rPr>
            </w:pPr>
            <w:r w:rsidRPr="002B5EF9">
              <w:rPr>
                <w:rFonts w:eastAsiaTheme="minorEastAsia"/>
                <w:b/>
                <w:bCs/>
                <w:szCs w:val="20"/>
              </w:rPr>
              <w:t>Description</w:t>
            </w:r>
          </w:p>
        </w:tc>
        <w:tc>
          <w:tcPr>
            <w:tcW w:w="213" w:type="pct"/>
          </w:tcPr>
          <w:p w14:paraId="19E136CE" w14:textId="77777777" w:rsidR="002B5EF9" w:rsidRPr="002B5EF9" w:rsidRDefault="002B5EF9" w:rsidP="002B5EF9">
            <w:pPr>
              <w:jc w:val="both"/>
              <w:rPr>
                <w:rFonts w:eastAsiaTheme="minorEastAsia"/>
                <w:b/>
                <w:bCs/>
                <w:szCs w:val="20"/>
              </w:rPr>
            </w:pPr>
            <w:r w:rsidRPr="002B5EF9">
              <w:rPr>
                <w:rFonts w:eastAsiaTheme="minorEastAsia"/>
                <w:b/>
                <w:bCs/>
                <w:szCs w:val="20"/>
              </w:rPr>
              <w:t>:</w:t>
            </w:r>
          </w:p>
        </w:tc>
        <w:tc>
          <w:tcPr>
            <w:tcW w:w="635" w:type="pct"/>
          </w:tcPr>
          <w:p w14:paraId="7000448A" w14:textId="77777777" w:rsidR="002B5EF9" w:rsidRPr="002B5EF9" w:rsidRDefault="002B5EF9" w:rsidP="002B5EF9">
            <w:pPr>
              <w:jc w:val="both"/>
              <w:rPr>
                <w:rFonts w:eastAsiaTheme="minorEastAsia"/>
                <w:b/>
                <w:bCs/>
                <w:szCs w:val="20"/>
              </w:rPr>
            </w:pPr>
            <w:r w:rsidRPr="002B5EF9">
              <w:rPr>
                <w:rFonts w:eastAsiaTheme="minorEastAsia"/>
                <w:b/>
                <w:bCs/>
                <w:szCs w:val="20"/>
              </w:rPr>
              <w:t>Weight</w:t>
            </w:r>
          </w:p>
        </w:tc>
      </w:tr>
      <w:tr w:rsidR="002B5EF9" w14:paraId="333DFFCF" w14:textId="77777777" w:rsidTr="003202E1">
        <w:tc>
          <w:tcPr>
            <w:tcW w:w="4152" w:type="pct"/>
          </w:tcPr>
          <w:p w14:paraId="53993A2A" w14:textId="77777777" w:rsidR="002B5EF9" w:rsidRDefault="002B5EF9" w:rsidP="002B5EF9">
            <w:pPr>
              <w:jc w:val="both"/>
              <w:rPr>
                <w:rFonts w:eastAsiaTheme="minorEastAsia"/>
                <w:szCs w:val="20"/>
              </w:rPr>
            </w:pPr>
            <w:r w:rsidRPr="1E627BB5">
              <w:rPr>
                <w:rFonts w:eastAsiaTheme="minorEastAsia"/>
                <w:szCs w:val="20"/>
              </w:rPr>
              <w:t>Project methodology and suitability for NRC</w:t>
            </w:r>
          </w:p>
        </w:tc>
        <w:tc>
          <w:tcPr>
            <w:tcW w:w="213" w:type="pct"/>
          </w:tcPr>
          <w:p w14:paraId="385943E9" w14:textId="77777777" w:rsidR="002B5EF9" w:rsidRDefault="002B5EF9" w:rsidP="002B5EF9">
            <w:pPr>
              <w:jc w:val="both"/>
              <w:rPr>
                <w:rFonts w:eastAsiaTheme="minorEastAsia"/>
                <w:szCs w:val="20"/>
              </w:rPr>
            </w:pPr>
            <w:r>
              <w:rPr>
                <w:rFonts w:eastAsiaTheme="minorEastAsia"/>
                <w:szCs w:val="20"/>
              </w:rPr>
              <w:t>:</w:t>
            </w:r>
          </w:p>
        </w:tc>
        <w:tc>
          <w:tcPr>
            <w:tcW w:w="635" w:type="pct"/>
          </w:tcPr>
          <w:p w14:paraId="538F15A3" w14:textId="77777777" w:rsidR="002B5EF9" w:rsidRDefault="002B5EF9" w:rsidP="002B5EF9">
            <w:pPr>
              <w:jc w:val="both"/>
              <w:rPr>
                <w:rFonts w:eastAsiaTheme="minorEastAsia"/>
                <w:szCs w:val="20"/>
              </w:rPr>
            </w:pPr>
            <w:r>
              <w:rPr>
                <w:rFonts w:eastAsiaTheme="minorEastAsia"/>
                <w:szCs w:val="20"/>
              </w:rPr>
              <w:t>30%</w:t>
            </w:r>
          </w:p>
        </w:tc>
      </w:tr>
      <w:tr w:rsidR="002B5EF9" w14:paraId="6C2CD3D7" w14:textId="77777777" w:rsidTr="003202E1">
        <w:tc>
          <w:tcPr>
            <w:tcW w:w="4152" w:type="pct"/>
          </w:tcPr>
          <w:p w14:paraId="6C8B69C2" w14:textId="77777777" w:rsidR="002B5EF9" w:rsidRDefault="002B5EF9" w:rsidP="002B5EF9">
            <w:pPr>
              <w:jc w:val="both"/>
              <w:rPr>
                <w:rFonts w:eastAsiaTheme="minorEastAsia"/>
                <w:szCs w:val="20"/>
              </w:rPr>
            </w:pPr>
            <w:r w:rsidRPr="1E627BB5">
              <w:rPr>
                <w:rFonts w:eastAsiaTheme="minorEastAsia"/>
                <w:szCs w:val="20"/>
              </w:rPr>
              <w:t>Proven ability and experience with similar consultancies</w:t>
            </w:r>
          </w:p>
        </w:tc>
        <w:tc>
          <w:tcPr>
            <w:tcW w:w="213" w:type="pct"/>
          </w:tcPr>
          <w:p w14:paraId="3B653535" w14:textId="77777777" w:rsidR="002B5EF9" w:rsidRDefault="002B5EF9" w:rsidP="002B5EF9">
            <w:pPr>
              <w:jc w:val="both"/>
              <w:rPr>
                <w:rFonts w:eastAsiaTheme="minorEastAsia"/>
                <w:szCs w:val="20"/>
              </w:rPr>
            </w:pPr>
            <w:r>
              <w:rPr>
                <w:rFonts w:eastAsiaTheme="minorEastAsia"/>
                <w:szCs w:val="20"/>
              </w:rPr>
              <w:t>:</w:t>
            </w:r>
          </w:p>
        </w:tc>
        <w:tc>
          <w:tcPr>
            <w:tcW w:w="635" w:type="pct"/>
          </w:tcPr>
          <w:p w14:paraId="34B7044D" w14:textId="77777777" w:rsidR="002B5EF9" w:rsidRDefault="002B5EF9" w:rsidP="002B5EF9">
            <w:pPr>
              <w:jc w:val="both"/>
              <w:rPr>
                <w:rFonts w:eastAsiaTheme="minorEastAsia"/>
                <w:szCs w:val="20"/>
              </w:rPr>
            </w:pPr>
            <w:r>
              <w:rPr>
                <w:rFonts w:eastAsiaTheme="minorEastAsia"/>
                <w:szCs w:val="20"/>
              </w:rPr>
              <w:t>30%</w:t>
            </w:r>
          </w:p>
        </w:tc>
      </w:tr>
      <w:tr w:rsidR="002B5EF9" w14:paraId="6CBF02D8" w14:textId="77777777" w:rsidTr="003202E1">
        <w:tc>
          <w:tcPr>
            <w:tcW w:w="4152" w:type="pct"/>
          </w:tcPr>
          <w:p w14:paraId="0EC7BF18" w14:textId="77777777" w:rsidR="002B5EF9" w:rsidRDefault="002B5EF9" w:rsidP="002B5EF9">
            <w:pPr>
              <w:jc w:val="both"/>
              <w:rPr>
                <w:rFonts w:eastAsiaTheme="minorEastAsia"/>
                <w:szCs w:val="20"/>
              </w:rPr>
            </w:pPr>
            <w:r w:rsidRPr="1E627BB5">
              <w:rPr>
                <w:rFonts w:eastAsiaTheme="minorEastAsia"/>
                <w:szCs w:val="20"/>
              </w:rPr>
              <w:t>Experience and demonstrable understanding of the context</w:t>
            </w:r>
          </w:p>
        </w:tc>
        <w:tc>
          <w:tcPr>
            <w:tcW w:w="213" w:type="pct"/>
          </w:tcPr>
          <w:p w14:paraId="1FFAA30F" w14:textId="77777777" w:rsidR="002B5EF9" w:rsidRDefault="002B5EF9" w:rsidP="002B5EF9">
            <w:pPr>
              <w:jc w:val="both"/>
              <w:rPr>
                <w:rFonts w:eastAsiaTheme="minorEastAsia"/>
                <w:szCs w:val="20"/>
              </w:rPr>
            </w:pPr>
            <w:r>
              <w:rPr>
                <w:rFonts w:eastAsiaTheme="minorEastAsia"/>
                <w:szCs w:val="20"/>
              </w:rPr>
              <w:t>:</w:t>
            </w:r>
          </w:p>
        </w:tc>
        <w:tc>
          <w:tcPr>
            <w:tcW w:w="635" w:type="pct"/>
          </w:tcPr>
          <w:p w14:paraId="6D4E37C9" w14:textId="77777777" w:rsidR="002B5EF9" w:rsidRDefault="002B5EF9" w:rsidP="002B5EF9">
            <w:pPr>
              <w:jc w:val="both"/>
              <w:rPr>
                <w:rFonts w:eastAsiaTheme="minorEastAsia"/>
                <w:szCs w:val="20"/>
              </w:rPr>
            </w:pPr>
            <w:r>
              <w:rPr>
                <w:rFonts w:eastAsiaTheme="minorEastAsia"/>
                <w:szCs w:val="20"/>
              </w:rPr>
              <w:t>10%</w:t>
            </w:r>
          </w:p>
        </w:tc>
      </w:tr>
      <w:tr w:rsidR="002B5EF9" w14:paraId="6514C512" w14:textId="77777777" w:rsidTr="003202E1">
        <w:tc>
          <w:tcPr>
            <w:tcW w:w="4152" w:type="pct"/>
          </w:tcPr>
          <w:p w14:paraId="76DCF6CD" w14:textId="77777777" w:rsidR="002B5EF9" w:rsidRDefault="002B5EF9" w:rsidP="002B5EF9">
            <w:pPr>
              <w:jc w:val="both"/>
              <w:rPr>
                <w:rFonts w:eastAsiaTheme="minorEastAsia"/>
                <w:szCs w:val="20"/>
              </w:rPr>
            </w:pPr>
            <w:r>
              <w:rPr>
                <w:rFonts w:eastAsiaTheme="minorEastAsia"/>
                <w:szCs w:val="20"/>
              </w:rPr>
              <w:t>Financial offer (P</w:t>
            </w:r>
            <w:r w:rsidRPr="00746EE7">
              <w:rPr>
                <w:rFonts w:cs="Calibri"/>
              </w:rPr>
              <w:t>roposed budget, detailing consultancy</w:t>
            </w:r>
            <w:r>
              <w:rPr>
                <w:rFonts w:cs="Calibri"/>
              </w:rPr>
              <w:t>)</w:t>
            </w:r>
          </w:p>
        </w:tc>
        <w:tc>
          <w:tcPr>
            <w:tcW w:w="213" w:type="pct"/>
          </w:tcPr>
          <w:p w14:paraId="15F50AB0" w14:textId="77777777" w:rsidR="002B5EF9" w:rsidRDefault="002B5EF9" w:rsidP="002B5EF9">
            <w:pPr>
              <w:jc w:val="both"/>
              <w:rPr>
                <w:rFonts w:eastAsiaTheme="minorEastAsia"/>
                <w:szCs w:val="20"/>
              </w:rPr>
            </w:pPr>
            <w:r>
              <w:rPr>
                <w:rFonts w:eastAsiaTheme="minorEastAsia"/>
                <w:szCs w:val="20"/>
              </w:rPr>
              <w:t>:</w:t>
            </w:r>
          </w:p>
        </w:tc>
        <w:tc>
          <w:tcPr>
            <w:tcW w:w="635" w:type="pct"/>
          </w:tcPr>
          <w:p w14:paraId="74A7D149" w14:textId="77777777" w:rsidR="002B5EF9" w:rsidRDefault="002B5EF9" w:rsidP="002B5EF9">
            <w:pPr>
              <w:jc w:val="both"/>
              <w:rPr>
                <w:rFonts w:eastAsiaTheme="minorEastAsia"/>
                <w:szCs w:val="20"/>
              </w:rPr>
            </w:pPr>
            <w:r>
              <w:rPr>
                <w:rFonts w:eastAsiaTheme="minorEastAsia"/>
                <w:szCs w:val="20"/>
              </w:rPr>
              <w:t>30%</w:t>
            </w:r>
          </w:p>
        </w:tc>
      </w:tr>
      <w:tr w:rsidR="006A1CBD" w14:paraId="791699D0" w14:textId="77777777" w:rsidTr="003202E1">
        <w:tc>
          <w:tcPr>
            <w:tcW w:w="4152" w:type="pct"/>
          </w:tcPr>
          <w:p w14:paraId="68D91E93" w14:textId="77777777" w:rsidR="006A1CBD" w:rsidRPr="006A1CBD" w:rsidRDefault="006A1CBD" w:rsidP="002B5EF9">
            <w:pPr>
              <w:jc w:val="both"/>
              <w:rPr>
                <w:rFonts w:eastAsiaTheme="minorEastAsia"/>
                <w:b/>
                <w:bCs/>
                <w:szCs w:val="20"/>
              </w:rPr>
            </w:pPr>
            <w:r w:rsidRPr="006A1CBD">
              <w:rPr>
                <w:rFonts w:eastAsiaTheme="minorEastAsia"/>
                <w:b/>
                <w:bCs/>
                <w:szCs w:val="20"/>
              </w:rPr>
              <w:t>Net total</w:t>
            </w:r>
          </w:p>
        </w:tc>
        <w:tc>
          <w:tcPr>
            <w:tcW w:w="213" w:type="pct"/>
          </w:tcPr>
          <w:p w14:paraId="6C76E1D7" w14:textId="77777777" w:rsidR="006A1CBD" w:rsidRPr="006A1CBD" w:rsidRDefault="006A1CBD" w:rsidP="002B5EF9">
            <w:pPr>
              <w:jc w:val="both"/>
              <w:rPr>
                <w:rFonts w:eastAsiaTheme="minorEastAsia"/>
                <w:b/>
                <w:bCs/>
                <w:szCs w:val="20"/>
              </w:rPr>
            </w:pPr>
          </w:p>
        </w:tc>
        <w:tc>
          <w:tcPr>
            <w:tcW w:w="635" w:type="pct"/>
          </w:tcPr>
          <w:p w14:paraId="27C2D949" w14:textId="77777777" w:rsidR="006A1CBD" w:rsidRPr="006A1CBD" w:rsidRDefault="006A1CBD" w:rsidP="002B5EF9">
            <w:pPr>
              <w:jc w:val="both"/>
              <w:rPr>
                <w:rFonts w:eastAsiaTheme="minorEastAsia"/>
                <w:b/>
                <w:bCs/>
                <w:szCs w:val="20"/>
              </w:rPr>
            </w:pPr>
            <w:r w:rsidRPr="006A1CBD">
              <w:rPr>
                <w:rFonts w:eastAsiaTheme="minorEastAsia"/>
                <w:b/>
                <w:bCs/>
                <w:szCs w:val="20"/>
              </w:rPr>
              <w:t>100%</w:t>
            </w:r>
          </w:p>
        </w:tc>
      </w:tr>
    </w:tbl>
    <w:p w14:paraId="7317A7A9" w14:textId="77777777" w:rsidR="002B5EF9" w:rsidRDefault="3827D1DB" w:rsidP="002B5EF9">
      <w:pPr>
        <w:spacing w:after="0"/>
        <w:ind w:left="360" w:hanging="360"/>
        <w:jc w:val="both"/>
        <w:rPr>
          <w:rFonts w:eastAsiaTheme="minorEastAsia"/>
          <w:szCs w:val="20"/>
        </w:rPr>
      </w:pPr>
      <w:r w:rsidRPr="1E627BB5">
        <w:rPr>
          <w:rFonts w:eastAsiaTheme="minorEastAsia"/>
          <w:szCs w:val="20"/>
        </w:rPr>
        <w:t xml:space="preserve"> </w:t>
      </w:r>
    </w:p>
    <w:p w14:paraId="6D87FC32" w14:textId="77777777" w:rsidR="003202E1" w:rsidRDefault="003202E1" w:rsidP="003202E1">
      <w:pPr>
        <w:spacing w:after="0"/>
        <w:jc w:val="both"/>
        <w:rPr>
          <w:rFonts w:eastAsiaTheme="minorEastAsia"/>
          <w:szCs w:val="20"/>
        </w:rPr>
      </w:pPr>
      <w:r w:rsidRPr="003202E1">
        <w:rPr>
          <w:rFonts w:eastAsiaTheme="minorEastAsia"/>
          <w:b/>
          <w:bCs/>
          <w:szCs w:val="20"/>
        </w:rPr>
        <w:t>Eva</w:t>
      </w:r>
      <w:r>
        <w:rPr>
          <w:rFonts w:eastAsiaTheme="minorEastAsia"/>
          <w:b/>
          <w:bCs/>
          <w:szCs w:val="20"/>
        </w:rPr>
        <w:t>lu</w:t>
      </w:r>
      <w:r w:rsidRPr="003202E1">
        <w:rPr>
          <w:rFonts w:eastAsiaTheme="minorEastAsia"/>
          <w:b/>
          <w:bCs/>
          <w:szCs w:val="20"/>
        </w:rPr>
        <w:t>ation process</w:t>
      </w:r>
      <w:r>
        <w:rPr>
          <w:rFonts w:eastAsiaTheme="minorEastAsia"/>
          <w:szCs w:val="20"/>
        </w:rPr>
        <w:t xml:space="preserve">: </w:t>
      </w:r>
    </w:p>
    <w:p w14:paraId="14E30978" w14:textId="77777777" w:rsidR="003202E1" w:rsidRPr="003202E1" w:rsidRDefault="3827D1DB" w:rsidP="003202E1">
      <w:pPr>
        <w:pStyle w:val="ListParagraph"/>
        <w:numPr>
          <w:ilvl w:val="0"/>
          <w:numId w:val="23"/>
        </w:numPr>
        <w:spacing w:after="0"/>
        <w:jc w:val="both"/>
        <w:rPr>
          <w:rFonts w:eastAsiaTheme="minorEastAsia"/>
          <w:szCs w:val="20"/>
        </w:rPr>
      </w:pPr>
      <w:r w:rsidRPr="003202E1">
        <w:rPr>
          <w:rFonts w:eastAsiaTheme="minorEastAsia"/>
          <w:szCs w:val="20"/>
        </w:rPr>
        <w:t xml:space="preserve"> </w:t>
      </w:r>
      <w:r w:rsidR="003202E1">
        <w:rPr>
          <w:rFonts w:eastAsiaTheme="minorEastAsia"/>
          <w:szCs w:val="20"/>
        </w:rPr>
        <w:t xml:space="preserve">Administrative check: a </w:t>
      </w:r>
      <w:r w:rsidR="003202E1" w:rsidRPr="003202E1">
        <w:rPr>
          <w:rFonts w:cstheme="minorHAnsi"/>
          <w:szCs w:val="20"/>
          <w:lang w:val="en-AU"/>
        </w:rPr>
        <w:t>document check will be conducted for all the compulsory documents. If the documents don't meet NRC requirements, then the service provider offer will be rejected. Otherwise, the service provider offers will be accepted for the next round of Technical Evaluation.</w:t>
      </w:r>
      <w:r w:rsidR="003202E1">
        <w:rPr>
          <w:rFonts w:cstheme="minorHAnsi"/>
          <w:szCs w:val="20"/>
          <w:lang w:val="en-AU"/>
        </w:rPr>
        <w:t xml:space="preserve"> Below is the list of the compulsory documents: </w:t>
      </w:r>
      <w:r w:rsidR="003202E1" w:rsidRPr="003202E1">
        <w:rPr>
          <w:rFonts w:cstheme="minorHAnsi"/>
          <w:szCs w:val="20"/>
          <w:lang w:val="en-AU"/>
        </w:rPr>
        <w:t xml:space="preserve">  </w:t>
      </w:r>
    </w:p>
    <w:p w14:paraId="64EF0B72" w14:textId="77777777" w:rsidR="003202E1" w:rsidRPr="00746EE7" w:rsidRDefault="003202E1" w:rsidP="003202E1">
      <w:pPr>
        <w:pStyle w:val="ListParagraph"/>
        <w:numPr>
          <w:ilvl w:val="1"/>
          <w:numId w:val="23"/>
        </w:numPr>
        <w:spacing w:after="0" w:line="240" w:lineRule="auto"/>
        <w:contextualSpacing/>
        <w:jc w:val="both"/>
        <w:rPr>
          <w:rFonts w:cs="Calibri"/>
        </w:rPr>
      </w:pPr>
      <w:r w:rsidRPr="1E627BB5">
        <w:rPr>
          <w:rFonts w:cs="Calibri"/>
        </w:rPr>
        <w:t>CV (max 3 pages)</w:t>
      </w:r>
    </w:p>
    <w:p w14:paraId="4196FFDD" w14:textId="77777777" w:rsidR="003202E1" w:rsidRDefault="003202E1" w:rsidP="003202E1">
      <w:pPr>
        <w:pStyle w:val="ListParagraph"/>
        <w:numPr>
          <w:ilvl w:val="1"/>
          <w:numId w:val="23"/>
        </w:numPr>
        <w:spacing w:after="0" w:line="240" w:lineRule="auto"/>
        <w:jc w:val="both"/>
      </w:pPr>
      <w:r>
        <w:rPr>
          <w:rFonts w:cs="Calibri"/>
        </w:rPr>
        <w:t>Technical proposal; p</w:t>
      </w:r>
      <w:r w:rsidRPr="1E627BB5">
        <w:rPr>
          <w:rFonts w:cs="Calibri"/>
        </w:rPr>
        <w:t>roject proposed methodology (max 2 pages)</w:t>
      </w:r>
    </w:p>
    <w:p w14:paraId="58E286E4" w14:textId="77777777" w:rsidR="003202E1" w:rsidRPr="00746EE7" w:rsidRDefault="003202E1" w:rsidP="003202E1">
      <w:pPr>
        <w:pStyle w:val="ListParagraph"/>
        <w:numPr>
          <w:ilvl w:val="1"/>
          <w:numId w:val="23"/>
        </w:numPr>
        <w:spacing w:after="0" w:line="240" w:lineRule="auto"/>
        <w:contextualSpacing/>
        <w:jc w:val="both"/>
        <w:rPr>
          <w:rFonts w:cs="Calibri"/>
        </w:rPr>
      </w:pPr>
      <w:r w:rsidRPr="1E627BB5">
        <w:rPr>
          <w:rFonts w:cs="Calibri"/>
        </w:rPr>
        <w:t>Sample of previous consultancy report/lessons learned/evaluation document (max 2 relevant samples)</w:t>
      </w:r>
    </w:p>
    <w:p w14:paraId="055DCF38" w14:textId="77777777" w:rsidR="003202E1" w:rsidRDefault="003202E1" w:rsidP="003202E1">
      <w:pPr>
        <w:pStyle w:val="ListParagraph"/>
        <w:numPr>
          <w:ilvl w:val="1"/>
          <w:numId w:val="23"/>
        </w:numPr>
        <w:spacing w:after="0" w:line="240" w:lineRule="auto"/>
        <w:contextualSpacing/>
        <w:jc w:val="both"/>
        <w:rPr>
          <w:rFonts w:cs="Calibri"/>
        </w:rPr>
      </w:pPr>
      <w:r w:rsidRPr="00746EE7">
        <w:rPr>
          <w:rFonts w:cs="Calibri"/>
        </w:rPr>
        <w:t xml:space="preserve">Proposed budget, detailing consultancy fees </w:t>
      </w:r>
    </w:p>
    <w:p w14:paraId="7AE34A84" w14:textId="77777777" w:rsidR="003202E1" w:rsidRDefault="003202E1" w:rsidP="003202E1">
      <w:pPr>
        <w:pStyle w:val="ListParagraph"/>
        <w:numPr>
          <w:ilvl w:val="0"/>
          <w:numId w:val="0"/>
        </w:numPr>
        <w:spacing w:after="0"/>
        <w:ind w:left="720"/>
        <w:jc w:val="both"/>
        <w:rPr>
          <w:rFonts w:eastAsiaTheme="minorEastAsia"/>
          <w:szCs w:val="20"/>
        </w:rPr>
      </w:pPr>
    </w:p>
    <w:p w14:paraId="7CAEAC7A" w14:textId="77777777" w:rsidR="003202E1" w:rsidRDefault="003202E1" w:rsidP="003202E1">
      <w:pPr>
        <w:pStyle w:val="ListParagraph"/>
        <w:numPr>
          <w:ilvl w:val="0"/>
          <w:numId w:val="23"/>
        </w:numPr>
        <w:spacing w:after="0"/>
        <w:jc w:val="both"/>
        <w:rPr>
          <w:rFonts w:eastAsiaTheme="minorEastAsia"/>
          <w:szCs w:val="20"/>
        </w:rPr>
      </w:pPr>
      <w:r>
        <w:rPr>
          <w:rFonts w:eastAsiaTheme="minorEastAsia"/>
          <w:szCs w:val="20"/>
        </w:rPr>
        <w:t>Technical and financial evaluation: initially a</w:t>
      </w:r>
      <w:r w:rsidRPr="003202E1">
        <w:rPr>
          <w:rFonts w:eastAsiaTheme="minorEastAsia"/>
          <w:szCs w:val="20"/>
        </w:rPr>
        <w:t xml:space="preserve"> </w:t>
      </w:r>
      <w:r>
        <w:rPr>
          <w:rFonts w:eastAsiaTheme="minorEastAsia"/>
          <w:szCs w:val="20"/>
        </w:rPr>
        <w:t>t</w:t>
      </w:r>
      <w:r w:rsidRPr="003202E1">
        <w:rPr>
          <w:rFonts w:eastAsiaTheme="minorEastAsia"/>
          <w:szCs w:val="20"/>
        </w:rPr>
        <w:t>echnical Evaluation of all</w:t>
      </w:r>
      <w:r>
        <w:rPr>
          <w:rFonts w:eastAsiaTheme="minorEastAsia"/>
          <w:szCs w:val="20"/>
        </w:rPr>
        <w:t xml:space="preserve"> shortlisted</w:t>
      </w:r>
      <w:r w:rsidRPr="003202E1">
        <w:rPr>
          <w:rFonts w:eastAsiaTheme="minorEastAsia"/>
          <w:szCs w:val="20"/>
        </w:rPr>
        <w:t xml:space="preserve"> bids will be conducted. Criteria that will be used to evaluate and score the bids</w:t>
      </w:r>
      <w:r>
        <w:rPr>
          <w:rFonts w:eastAsiaTheme="minorEastAsia"/>
          <w:szCs w:val="20"/>
        </w:rPr>
        <w:t xml:space="preserve"> are outlined in the “Evaluation criteria” section. Then, price comparison will be conducted for </w:t>
      </w:r>
      <w:r w:rsidRPr="00764CAB">
        <w:rPr>
          <w:rFonts w:cstheme="minorHAnsi"/>
          <w:szCs w:val="20"/>
          <w:lang w:val="en-AU"/>
        </w:rPr>
        <w:t>NRC established expectation and in comparison to other bidders of comparable technical quality</w:t>
      </w:r>
    </w:p>
    <w:p w14:paraId="541BAE58" w14:textId="77777777" w:rsidR="003202E1" w:rsidRDefault="003202E1" w:rsidP="003202E1">
      <w:pPr>
        <w:pStyle w:val="ListParagraph"/>
        <w:numPr>
          <w:ilvl w:val="0"/>
          <w:numId w:val="0"/>
        </w:numPr>
        <w:spacing w:after="0"/>
        <w:ind w:left="720"/>
        <w:jc w:val="both"/>
        <w:rPr>
          <w:rFonts w:eastAsiaTheme="minorEastAsia"/>
          <w:szCs w:val="20"/>
        </w:rPr>
      </w:pPr>
    </w:p>
    <w:p w14:paraId="44FC40B5" w14:textId="77777777" w:rsidR="003202E1" w:rsidRDefault="002B172F" w:rsidP="003202E1">
      <w:pPr>
        <w:pStyle w:val="ListParagraph"/>
        <w:numPr>
          <w:ilvl w:val="0"/>
          <w:numId w:val="23"/>
        </w:numPr>
        <w:spacing w:after="0"/>
        <w:jc w:val="both"/>
        <w:rPr>
          <w:rFonts w:eastAsiaTheme="minorEastAsia"/>
          <w:szCs w:val="20"/>
        </w:rPr>
      </w:pPr>
      <w:r>
        <w:rPr>
          <w:rFonts w:eastAsiaTheme="minorEastAsia"/>
          <w:szCs w:val="20"/>
        </w:rPr>
        <w:t>NRC may conduct online</w:t>
      </w:r>
      <w:r w:rsidR="003202E1">
        <w:rPr>
          <w:rFonts w:eastAsiaTheme="minorEastAsia"/>
          <w:szCs w:val="20"/>
        </w:rPr>
        <w:t xml:space="preserve"> interviews which will be considered as part of the evaluation process. </w:t>
      </w:r>
    </w:p>
    <w:p w14:paraId="1C4B3852" w14:textId="77777777" w:rsidR="003202E1" w:rsidRDefault="003202E1" w:rsidP="003202E1">
      <w:pPr>
        <w:pStyle w:val="ListParagraph"/>
        <w:numPr>
          <w:ilvl w:val="0"/>
          <w:numId w:val="0"/>
        </w:numPr>
        <w:ind w:left="360"/>
        <w:rPr>
          <w:rFonts w:eastAsiaTheme="minorEastAsia"/>
          <w:szCs w:val="20"/>
        </w:rPr>
      </w:pPr>
    </w:p>
    <w:p w14:paraId="0CBC7018" w14:textId="77777777" w:rsidR="002B5EF9" w:rsidRPr="003202E1" w:rsidRDefault="003202E1" w:rsidP="003202E1">
      <w:pPr>
        <w:pStyle w:val="ListParagraph"/>
        <w:numPr>
          <w:ilvl w:val="0"/>
          <w:numId w:val="0"/>
        </w:numPr>
        <w:ind w:left="360"/>
        <w:rPr>
          <w:rFonts w:eastAsiaTheme="minorEastAsia"/>
          <w:szCs w:val="20"/>
        </w:rPr>
      </w:pPr>
      <w:r>
        <w:rPr>
          <w:rFonts w:cstheme="minorHAnsi"/>
          <w:szCs w:val="20"/>
          <w:lang w:val="en-AU"/>
        </w:rPr>
        <w:t xml:space="preserve">NRC reserve the right to sign multiple contracts, to change and amend any step of the evaluation process in accordance with their needed and requirements. </w:t>
      </w:r>
      <w:r w:rsidRPr="003202E1">
        <w:rPr>
          <w:rFonts w:eastAsiaTheme="minorEastAsia"/>
          <w:szCs w:val="20"/>
        </w:rPr>
        <w:t xml:space="preserve"> </w:t>
      </w:r>
    </w:p>
    <w:p w14:paraId="3424F514" w14:textId="0C0D0573" w:rsidR="55960B04" w:rsidRDefault="55960B04" w:rsidP="004D5EFF">
      <w:pPr>
        <w:pStyle w:val="Heading1"/>
        <w:numPr>
          <w:ilvl w:val="0"/>
          <w:numId w:val="0"/>
        </w:numPr>
        <w:ind w:left="357" w:hanging="357"/>
      </w:pPr>
      <w:bookmarkStart w:id="0" w:name="_GoBack"/>
      <w:bookmarkEnd w:id="0"/>
      <w:r w:rsidRPr="002B5EF9">
        <w:t>Schedule of Deliverables or payment plan</w:t>
      </w:r>
    </w:p>
    <w:p w14:paraId="08DAC820" w14:textId="77777777" w:rsidR="55960B04" w:rsidRDefault="55960B04">
      <w:r w:rsidRPr="1E627BB5">
        <w:rPr>
          <w:rFonts w:ascii="Calibri" w:eastAsia="Calibri" w:hAnsi="Calibri" w:cs="Calibri"/>
          <w:b/>
          <w:bCs/>
          <w:sz w:val="22"/>
        </w:rPr>
        <w:t>Commencement</w:t>
      </w:r>
    </w:p>
    <w:p w14:paraId="4C3C2E85" w14:textId="77777777" w:rsidR="55960B04" w:rsidRPr="002B5EF9" w:rsidRDefault="55960B04" w:rsidP="002B5EF9">
      <w:pPr>
        <w:spacing w:line="257" w:lineRule="auto"/>
        <w:jc w:val="both"/>
        <w:rPr>
          <w:rFonts w:eastAsiaTheme="minorEastAsia"/>
          <w:szCs w:val="20"/>
        </w:rPr>
      </w:pPr>
      <w:r w:rsidRPr="002B5EF9">
        <w:rPr>
          <w:rFonts w:eastAsiaTheme="minorEastAsia"/>
          <w:szCs w:val="20"/>
        </w:rPr>
        <w:t xml:space="preserve">The Assignment shall commence as soon as possible.      </w:t>
      </w:r>
    </w:p>
    <w:p w14:paraId="3BD17551" w14:textId="77777777" w:rsidR="55960B04" w:rsidRDefault="55960B04" w:rsidP="002B5EF9">
      <w:pPr>
        <w:spacing w:line="257" w:lineRule="auto"/>
        <w:jc w:val="both"/>
      </w:pPr>
      <w:r w:rsidRPr="1E627BB5">
        <w:rPr>
          <w:rFonts w:ascii="Calibri" w:eastAsia="Calibri" w:hAnsi="Calibri" w:cs="Calibri"/>
          <w:b/>
          <w:bCs/>
          <w:sz w:val="22"/>
        </w:rPr>
        <w:t xml:space="preserve">Period for the Assignment </w:t>
      </w:r>
      <w:r w:rsidRPr="1E627BB5">
        <w:rPr>
          <w:rFonts w:ascii="Calibri" w:eastAsia="Calibri" w:hAnsi="Calibri" w:cs="Calibri"/>
          <w:sz w:val="22"/>
        </w:rPr>
        <w:t xml:space="preserve">          </w:t>
      </w:r>
    </w:p>
    <w:p w14:paraId="6D8E6576" w14:textId="77777777" w:rsidR="55960B04" w:rsidRPr="002B5EF9" w:rsidRDefault="55960B04" w:rsidP="002B5EF9">
      <w:pPr>
        <w:spacing w:line="257" w:lineRule="auto"/>
        <w:jc w:val="both"/>
        <w:rPr>
          <w:rFonts w:eastAsiaTheme="minorEastAsia"/>
          <w:szCs w:val="20"/>
        </w:rPr>
      </w:pPr>
      <w:r w:rsidRPr="002B5EF9">
        <w:rPr>
          <w:rFonts w:eastAsiaTheme="minorEastAsia"/>
          <w:szCs w:val="20"/>
        </w:rPr>
        <w:t xml:space="preserve">The Assignment shall be provided on an ongoing basis until the total number of hours has been reached based on mutually agreed upon </w:t>
      </w:r>
      <w:r w:rsidR="002B5EF9" w:rsidRPr="002B5EF9">
        <w:rPr>
          <w:rFonts w:eastAsiaTheme="minorEastAsia"/>
          <w:szCs w:val="20"/>
        </w:rPr>
        <w:t>work-plan</w:t>
      </w:r>
      <w:r w:rsidRPr="002B5EF9">
        <w:rPr>
          <w:rFonts w:eastAsiaTheme="minorEastAsia"/>
          <w:szCs w:val="20"/>
        </w:rPr>
        <w:t xml:space="preserve"> between the consultant and NRC.</w:t>
      </w:r>
    </w:p>
    <w:p w14:paraId="0AD7532F" w14:textId="77777777" w:rsidR="55960B04" w:rsidRPr="002B5EF9" w:rsidRDefault="55960B04" w:rsidP="002B5EF9">
      <w:pPr>
        <w:spacing w:after="0"/>
        <w:jc w:val="both"/>
        <w:rPr>
          <w:rFonts w:eastAsiaTheme="minorEastAsia"/>
          <w:szCs w:val="20"/>
        </w:rPr>
      </w:pPr>
      <w:r w:rsidRPr="002B5EF9">
        <w:rPr>
          <w:rFonts w:eastAsiaTheme="minorEastAsia"/>
          <w:szCs w:val="20"/>
        </w:rPr>
        <w:t>The project progress plan/schedule of deliverables</w:t>
      </w:r>
    </w:p>
    <w:tbl>
      <w:tblPr>
        <w:tblStyle w:val="TableGrid"/>
        <w:tblW w:w="0" w:type="auto"/>
        <w:tblLook w:val="06A0" w:firstRow="1" w:lastRow="0" w:firstColumn="1" w:lastColumn="0" w:noHBand="1" w:noVBand="1"/>
      </w:tblPr>
      <w:tblGrid>
        <w:gridCol w:w="1597"/>
        <w:gridCol w:w="3859"/>
        <w:gridCol w:w="1144"/>
      </w:tblGrid>
      <w:tr w:rsidR="1E627BB5" w14:paraId="6C4CA397" w14:textId="77777777" w:rsidTr="002B5EF9">
        <w:tc>
          <w:tcPr>
            <w:tcW w:w="0" w:type="auto"/>
          </w:tcPr>
          <w:p w14:paraId="019EFA89" w14:textId="77777777" w:rsidR="31D62BEA" w:rsidRPr="002B5EF9" w:rsidRDefault="31D62BEA" w:rsidP="1E627BB5">
            <w:pPr>
              <w:rPr>
                <w:rFonts w:eastAsiaTheme="minorEastAsia"/>
                <w:b/>
                <w:bCs/>
                <w:color w:val="auto"/>
                <w:szCs w:val="20"/>
              </w:rPr>
            </w:pPr>
            <w:r w:rsidRPr="002B5EF9">
              <w:rPr>
                <w:rFonts w:eastAsiaTheme="minorEastAsia"/>
                <w:b/>
                <w:bCs/>
                <w:color w:val="auto"/>
                <w:szCs w:val="20"/>
              </w:rPr>
              <w:t># working days</w:t>
            </w:r>
            <w:r w:rsidR="121275D3" w:rsidRPr="002B5EF9">
              <w:rPr>
                <w:rFonts w:eastAsiaTheme="minorEastAsia"/>
                <w:b/>
                <w:bCs/>
                <w:color w:val="auto"/>
                <w:szCs w:val="20"/>
              </w:rPr>
              <w:t>*</w:t>
            </w:r>
          </w:p>
        </w:tc>
        <w:tc>
          <w:tcPr>
            <w:tcW w:w="0" w:type="auto"/>
          </w:tcPr>
          <w:p w14:paraId="4AFDFFAF" w14:textId="77777777" w:rsidR="31D62BEA" w:rsidRPr="002B5EF9" w:rsidRDefault="31D62BEA" w:rsidP="1E627BB5">
            <w:pPr>
              <w:rPr>
                <w:rFonts w:eastAsiaTheme="minorEastAsia"/>
                <w:b/>
                <w:bCs/>
                <w:color w:val="auto"/>
                <w:szCs w:val="20"/>
              </w:rPr>
            </w:pPr>
            <w:r w:rsidRPr="002B5EF9">
              <w:rPr>
                <w:rFonts w:eastAsiaTheme="minorEastAsia"/>
                <w:b/>
                <w:bCs/>
                <w:color w:val="auto"/>
                <w:szCs w:val="20"/>
              </w:rPr>
              <w:t>Deliverable</w:t>
            </w:r>
          </w:p>
        </w:tc>
        <w:tc>
          <w:tcPr>
            <w:tcW w:w="0" w:type="auto"/>
          </w:tcPr>
          <w:p w14:paraId="0D46B2F9" w14:textId="77777777" w:rsidR="31D62BEA" w:rsidRPr="002B5EF9" w:rsidRDefault="31D62BEA" w:rsidP="1E627BB5">
            <w:pPr>
              <w:rPr>
                <w:rFonts w:eastAsiaTheme="minorEastAsia"/>
                <w:b/>
                <w:bCs/>
                <w:color w:val="auto"/>
                <w:szCs w:val="20"/>
              </w:rPr>
            </w:pPr>
            <w:r w:rsidRPr="002B5EF9">
              <w:rPr>
                <w:rFonts w:eastAsiaTheme="minorEastAsia"/>
                <w:b/>
                <w:bCs/>
                <w:color w:val="auto"/>
                <w:szCs w:val="20"/>
              </w:rPr>
              <w:t>% payment</w:t>
            </w:r>
          </w:p>
        </w:tc>
      </w:tr>
      <w:tr w:rsidR="1E627BB5" w14:paraId="6F955F0B" w14:textId="77777777" w:rsidTr="002B5EF9">
        <w:tc>
          <w:tcPr>
            <w:tcW w:w="0" w:type="auto"/>
          </w:tcPr>
          <w:p w14:paraId="532CCD58" w14:textId="77777777" w:rsidR="31D62BEA" w:rsidRDefault="31D62BEA" w:rsidP="002B5EF9">
            <w:pPr>
              <w:jc w:val="center"/>
              <w:rPr>
                <w:rFonts w:eastAsiaTheme="minorEastAsia"/>
                <w:color w:val="auto"/>
                <w:szCs w:val="20"/>
              </w:rPr>
            </w:pPr>
            <w:r w:rsidRPr="1E627BB5">
              <w:rPr>
                <w:rFonts w:eastAsiaTheme="minorEastAsia"/>
                <w:color w:val="auto"/>
                <w:szCs w:val="20"/>
              </w:rPr>
              <w:t>20</w:t>
            </w:r>
          </w:p>
        </w:tc>
        <w:tc>
          <w:tcPr>
            <w:tcW w:w="0" w:type="auto"/>
          </w:tcPr>
          <w:p w14:paraId="78CE7B9D" w14:textId="77777777" w:rsidR="31D62BEA" w:rsidRDefault="31D62BEA" w:rsidP="1E627BB5">
            <w:pPr>
              <w:rPr>
                <w:rFonts w:eastAsiaTheme="minorEastAsia"/>
                <w:color w:val="auto"/>
                <w:szCs w:val="20"/>
              </w:rPr>
            </w:pPr>
            <w:r w:rsidRPr="1E627BB5">
              <w:rPr>
                <w:rFonts w:eastAsiaTheme="minorEastAsia"/>
                <w:color w:val="auto"/>
                <w:szCs w:val="20"/>
              </w:rPr>
              <w:t>Inception report and tools</w:t>
            </w:r>
          </w:p>
        </w:tc>
        <w:tc>
          <w:tcPr>
            <w:tcW w:w="0" w:type="auto"/>
          </w:tcPr>
          <w:p w14:paraId="24691D4A" w14:textId="77777777" w:rsidR="31D62BEA" w:rsidRDefault="31D62BEA" w:rsidP="002B5EF9">
            <w:pPr>
              <w:jc w:val="center"/>
              <w:rPr>
                <w:rFonts w:eastAsiaTheme="minorEastAsia"/>
                <w:color w:val="auto"/>
                <w:szCs w:val="20"/>
              </w:rPr>
            </w:pPr>
            <w:r w:rsidRPr="1E627BB5">
              <w:rPr>
                <w:rFonts w:eastAsiaTheme="minorEastAsia"/>
                <w:color w:val="auto"/>
                <w:szCs w:val="20"/>
              </w:rPr>
              <w:t>30%</w:t>
            </w:r>
          </w:p>
        </w:tc>
      </w:tr>
      <w:tr w:rsidR="1E627BB5" w14:paraId="6DD77226" w14:textId="77777777" w:rsidTr="002B5EF9">
        <w:tc>
          <w:tcPr>
            <w:tcW w:w="0" w:type="auto"/>
          </w:tcPr>
          <w:p w14:paraId="506C2DEB" w14:textId="77777777" w:rsidR="31D62BEA" w:rsidRDefault="31D62BEA" w:rsidP="002B5EF9">
            <w:pPr>
              <w:jc w:val="center"/>
              <w:rPr>
                <w:rFonts w:eastAsiaTheme="minorEastAsia"/>
                <w:color w:val="auto"/>
                <w:szCs w:val="20"/>
              </w:rPr>
            </w:pPr>
            <w:r w:rsidRPr="1E627BB5">
              <w:rPr>
                <w:rFonts w:eastAsiaTheme="minorEastAsia"/>
                <w:color w:val="auto"/>
                <w:szCs w:val="20"/>
              </w:rPr>
              <w:t>15</w:t>
            </w:r>
          </w:p>
        </w:tc>
        <w:tc>
          <w:tcPr>
            <w:tcW w:w="0" w:type="auto"/>
          </w:tcPr>
          <w:p w14:paraId="612A7333" w14:textId="77777777" w:rsidR="31D62BEA" w:rsidRDefault="31D62BEA" w:rsidP="1E627BB5">
            <w:pPr>
              <w:rPr>
                <w:rFonts w:eastAsiaTheme="minorEastAsia"/>
                <w:color w:val="auto"/>
                <w:szCs w:val="20"/>
              </w:rPr>
            </w:pPr>
            <w:r w:rsidRPr="1E627BB5">
              <w:rPr>
                <w:rFonts w:eastAsiaTheme="minorEastAsia"/>
                <w:color w:val="auto"/>
                <w:szCs w:val="20"/>
              </w:rPr>
              <w:t xml:space="preserve">Debrief presentation </w:t>
            </w:r>
          </w:p>
        </w:tc>
        <w:tc>
          <w:tcPr>
            <w:tcW w:w="0" w:type="auto"/>
          </w:tcPr>
          <w:p w14:paraId="34925BC5" w14:textId="77777777" w:rsidR="31D62BEA" w:rsidRDefault="31D62BEA" w:rsidP="002B5EF9">
            <w:pPr>
              <w:jc w:val="center"/>
              <w:rPr>
                <w:rFonts w:eastAsiaTheme="minorEastAsia"/>
                <w:color w:val="auto"/>
                <w:szCs w:val="20"/>
              </w:rPr>
            </w:pPr>
            <w:r w:rsidRPr="1E627BB5">
              <w:rPr>
                <w:rFonts w:eastAsiaTheme="minorEastAsia"/>
                <w:color w:val="auto"/>
                <w:szCs w:val="20"/>
              </w:rPr>
              <w:t>30%</w:t>
            </w:r>
          </w:p>
        </w:tc>
      </w:tr>
      <w:tr w:rsidR="1E627BB5" w14:paraId="070E39EE" w14:textId="77777777" w:rsidTr="002B5EF9">
        <w:tc>
          <w:tcPr>
            <w:tcW w:w="0" w:type="auto"/>
          </w:tcPr>
          <w:p w14:paraId="7D4316FC" w14:textId="77777777" w:rsidR="31D62BEA" w:rsidRDefault="31D62BEA" w:rsidP="002B5EF9">
            <w:pPr>
              <w:jc w:val="center"/>
              <w:rPr>
                <w:rFonts w:eastAsiaTheme="minorEastAsia"/>
                <w:color w:val="auto"/>
                <w:szCs w:val="20"/>
              </w:rPr>
            </w:pPr>
            <w:r w:rsidRPr="1E627BB5">
              <w:rPr>
                <w:rFonts w:eastAsiaTheme="minorEastAsia"/>
                <w:color w:val="auto"/>
                <w:szCs w:val="20"/>
              </w:rPr>
              <w:t>24</w:t>
            </w:r>
          </w:p>
        </w:tc>
        <w:tc>
          <w:tcPr>
            <w:tcW w:w="0" w:type="auto"/>
          </w:tcPr>
          <w:p w14:paraId="11D5B311" w14:textId="77777777" w:rsidR="31D62BEA" w:rsidRDefault="31D62BEA" w:rsidP="1E627BB5">
            <w:pPr>
              <w:rPr>
                <w:rFonts w:eastAsiaTheme="minorEastAsia"/>
                <w:color w:val="auto"/>
                <w:szCs w:val="20"/>
              </w:rPr>
            </w:pPr>
            <w:r w:rsidRPr="1E627BB5">
              <w:rPr>
                <w:rFonts w:eastAsiaTheme="minorEastAsia"/>
                <w:color w:val="auto"/>
                <w:szCs w:val="20"/>
              </w:rPr>
              <w:t>Final report and youth-friendly presentation</w:t>
            </w:r>
          </w:p>
        </w:tc>
        <w:tc>
          <w:tcPr>
            <w:tcW w:w="0" w:type="auto"/>
          </w:tcPr>
          <w:p w14:paraId="4E434DD8" w14:textId="77777777" w:rsidR="31D62BEA" w:rsidRDefault="31D62BEA" w:rsidP="002B5EF9">
            <w:pPr>
              <w:jc w:val="center"/>
              <w:rPr>
                <w:rFonts w:eastAsiaTheme="minorEastAsia"/>
                <w:color w:val="auto"/>
                <w:szCs w:val="20"/>
              </w:rPr>
            </w:pPr>
            <w:r w:rsidRPr="1E627BB5">
              <w:rPr>
                <w:rFonts w:eastAsiaTheme="minorEastAsia"/>
                <w:color w:val="auto"/>
                <w:szCs w:val="20"/>
              </w:rPr>
              <w:t>40%</w:t>
            </w:r>
          </w:p>
        </w:tc>
      </w:tr>
    </w:tbl>
    <w:p w14:paraId="47D10680" w14:textId="77777777" w:rsidR="002B5EF9" w:rsidRDefault="002B5EF9" w:rsidP="002B5EF9">
      <w:pPr>
        <w:spacing w:after="0"/>
        <w:jc w:val="both"/>
        <w:rPr>
          <w:rFonts w:eastAsiaTheme="minorEastAsia"/>
          <w:color w:val="auto"/>
          <w:szCs w:val="20"/>
        </w:rPr>
      </w:pPr>
    </w:p>
    <w:p w14:paraId="38F32854" w14:textId="77777777" w:rsidR="67B80BA5" w:rsidRDefault="67B80BA5" w:rsidP="002B5EF9">
      <w:pPr>
        <w:spacing w:after="0"/>
        <w:jc w:val="both"/>
        <w:rPr>
          <w:rFonts w:eastAsiaTheme="minorEastAsia"/>
          <w:color w:val="auto"/>
          <w:szCs w:val="20"/>
        </w:rPr>
      </w:pPr>
      <w:r w:rsidRPr="1E627BB5">
        <w:rPr>
          <w:rFonts w:eastAsiaTheme="minorEastAsia"/>
          <w:color w:val="auto"/>
          <w:szCs w:val="20"/>
        </w:rPr>
        <w:t>*# of working days are approximate. Payment is made aga</w:t>
      </w:r>
      <w:r w:rsidR="5087FE3A" w:rsidRPr="1E627BB5">
        <w:rPr>
          <w:rFonts w:eastAsiaTheme="minorEastAsia"/>
          <w:color w:val="auto"/>
          <w:szCs w:val="20"/>
        </w:rPr>
        <w:t xml:space="preserve">inst the </w:t>
      </w:r>
      <w:r w:rsidR="00A3097E">
        <w:rPr>
          <w:rFonts w:eastAsiaTheme="minorEastAsia"/>
          <w:color w:val="auto"/>
          <w:szCs w:val="20"/>
        </w:rPr>
        <w:t xml:space="preserve">deliverables at the </w:t>
      </w:r>
      <w:r w:rsidR="5087FE3A" w:rsidRPr="1E627BB5">
        <w:rPr>
          <w:rFonts w:eastAsiaTheme="minorEastAsia"/>
          <w:color w:val="auto"/>
          <w:szCs w:val="20"/>
        </w:rPr>
        <w:t>specified % of the total consultancy amount and not based on # of days worked.</w:t>
      </w:r>
    </w:p>
    <w:sectPr w:rsidR="67B80BA5" w:rsidSect="0052605F">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440" w:right="1440" w:bottom="1440" w:left="1440" w:header="709" w:footer="709"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5B831505" w16cid:durableId="21E2674E"/>
  <w16cid:commentId w16cid:paraId="4288BFFA" w16cid:durableId="3288BED3"/>
  <w16cid:commentId w16cid:paraId="0B1C160A" w16cid:durableId="7141D984"/>
  <w16cid:commentId w16cid:paraId="3143222A" w16cid:durableId="792C65C0"/>
  <w16cid:commentId w16cid:paraId="3E49A8F8" w16cid:durableId="2FE86018"/>
  <w16cid:commentId w16cid:paraId="70E8BF68" w16cid:durableId="7E842DC1"/>
  <w16cid:commentId w16cid:paraId="1B1067A1" w16cid:durableId="30F3F024"/>
  <w16cid:commentId w16cid:paraId="616BA093" w16cid:durableId="40C6A5B7"/>
  <w16cid:commentId w16cid:paraId="605E198D" w16cid:durableId="77C2637E"/>
  <w16cid:commentId w16cid:paraId="09AADAE2" w16cid:durableId="66CE46E4"/>
  <w16cid:commentId w16cid:paraId="361369AB" w16cid:durableId="7B6D0B6A"/>
  <w16cid:commentId w16cid:paraId="2F141ED8" w16cid:durableId="6840639B"/>
  <w16cid:commentId w16cid:paraId="26AC4FCB" w16cid:durableId="41F12D42"/>
  <w16cid:commentId w16cid:paraId="34E624EA" w16cid:durableId="03A3E888"/>
  <w16cid:commentId w16cid:paraId="786BEB28" w16cid:durableId="3C2D37FC"/>
  <w16cid:commentId w16cid:paraId="5AA3DA81" w16cid:durableId="21E26A3F"/>
  <w16cid:commentId w16cid:paraId="2D084C37" w16cid:durableId="59A16B6D"/>
  <w16cid:commentId w16cid:paraId="446B744A" w16cid:durableId="21E265F2"/>
  <w16cid:commentId w16cid:paraId="413560AF" w16cid:durableId="3D80B465"/>
  <w16cid:commentId w16cid:paraId="0E17EFA8" w16cid:durableId="051DA426"/>
  <w16cid:commentId w16cid:paraId="1F96189D" w16cid:durableId="2D7C10B9"/>
  <w16cid:commentId w16cid:paraId="4A162A00" w16cid:durableId="478CA48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38F92" w14:textId="77777777" w:rsidR="00815B63" w:rsidRDefault="00815B63" w:rsidP="0062174F">
      <w:pPr>
        <w:spacing w:after="0" w:line="240" w:lineRule="auto"/>
      </w:pPr>
      <w:r>
        <w:separator/>
      </w:r>
    </w:p>
  </w:endnote>
  <w:endnote w:type="continuationSeparator" w:id="0">
    <w:p w14:paraId="6DE7A6AF" w14:textId="77777777" w:rsidR="00815B63" w:rsidRDefault="00815B63" w:rsidP="0062174F">
      <w:pPr>
        <w:spacing w:after="0" w:line="240" w:lineRule="auto"/>
      </w:pPr>
      <w:r>
        <w:continuationSeparator/>
      </w:r>
    </w:p>
  </w:endnote>
  <w:endnote w:type="continuationNotice" w:id="1">
    <w:p w14:paraId="1B661559" w14:textId="77777777" w:rsidR="00815B63" w:rsidRDefault="00815B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4A9DB" w14:textId="77777777" w:rsidR="00AC5D1A" w:rsidRDefault="00AC5D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C7D06" w14:textId="24BEF71F" w:rsidR="00951B16" w:rsidRPr="00E654A0" w:rsidRDefault="00951B16" w:rsidP="00E654A0">
    <w:pPr>
      <w:pStyle w:val="Footer"/>
      <w:tabs>
        <w:tab w:val="clear" w:pos="3827"/>
        <w:tab w:val="clear" w:pos="4491"/>
        <w:tab w:val="clear" w:pos="5160"/>
      </w:tabs>
      <w:rPr>
        <w:lang w:val="en-US"/>
      </w:rPr>
    </w:pPr>
    <w:r w:rsidRPr="00E654A0">
      <w:rPr>
        <w:lang w:val="en-US"/>
      </w:rPr>
      <w:t xml:space="preserve">page </w:t>
    </w:r>
    <w:r>
      <w:rPr>
        <w:lang w:val="nb-NO"/>
      </w:rPr>
      <w:fldChar w:fldCharType="begin"/>
    </w:r>
    <w:r w:rsidRPr="00E654A0">
      <w:rPr>
        <w:lang w:val="en-US"/>
      </w:rPr>
      <w:instrText xml:space="preserve"> PAGE  \* Arabic  \* MERGEFORMAT </w:instrText>
    </w:r>
    <w:r>
      <w:rPr>
        <w:lang w:val="nb-NO"/>
      </w:rPr>
      <w:fldChar w:fldCharType="separate"/>
    </w:r>
    <w:r w:rsidR="004D5EFF" w:rsidRPr="004D5EFF">
      <w:rPr>
        <w:noProof/>
      </w:rPr>
      <w:t>5</w:t>
    </w:r>
    <w:r>
      <w:rPr>
        <w:lang w:val="nb-N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467B0" w14:textId="77777777" w:rsidR="00AC5D1A" w:rsidRDefault="00AC5D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A7BCA" w14:textId="77777777" w:rsidR="00815B63" w:rsidRPr="00FC707B" w:rsidRDefault="00815B63" w:rsidP="00FC707B">
      <w:pPr>
        <w:tabs>
          <w:tab w:val="left" w:leader="dot" w:pos="8505"/>
        </w:tabs>
        <w:spacing w:before="160" w:after="80" w:line="240" w:lineRule="auto"/>
        <w:rPr>
          <w:u w:val="single"/>
        </w:rPr>
      </w:pPr>
      <w:r w:rsidRPr="00FC707B">
        <w:tab/>
      </w:r>
    </w:p>
  </w:footnote>
  <w:footnote w:type="continuationSeparator" w:id="0">
    <w:p w14:paraId="659BDEB4" w14:textId="77777777" w:rsidR="00815B63" w:rsidRDefault="00815B63" w:rsidP="0062174F">
      <w:pPr>
        <w:spacing w:after="0" w:line="240" w:lineRule="auto"/>
      </w:pPr>
      <w:r>
        <w:continuationSeparator/>
      </w:r>
    </w:p>
  </w:footnote>
  <w:footnote w:type="continuationNotice" w:id="1">
    <w:p w14:paraId="05E4B753" w14:textId="77777777" w:rsidR="00815B63" w:rsidRDefault="00815B63">
      <w:pPr>
        <w:spacing w:after="0" w:line="240" w:lineRule="auto"/>
      </w:pPr>
    </w:p>
  </w:footnote>
  <w:footnote w:id="2">
    <w:p w14:paraId="3259AF6A" w14:textId="77777777" w:rsidR="00B519FB" w:rsidRPr="006F4EAA" w:rsidRDefault="00B519FB" w:rsidP="00B519FB">
      <w:pPr>
        <w:pStyle w:val="commentcontentpara"/>
        <w:spacing w:before="0" w:beforeAutospacing="0" w:after="0" w:afterAutospacing="0"/>
        <w:rPr>
          <w:rFonts w:asciiTheme="minorHAnsi" w:hAnsiTheme="minorHAnsi"/>
          <w:sz w:val="16"/>
          <w:szCs w:val="16"/>
        </w:rPr>
      </w:pPr>
      <w:r w:rsidRPr="006F4EAA">
        <w:rPr>
          <w:rStyle w:val="FootnoteReference"/>
          <w:rFonts w:asciiTheme="minorHAnsi" w:hAnsiTheme="minorHAnsi"/>
          <w:sz w:val="16"/>
          <w:szCs w:val="16"/>
        </w:rPr>
        <w:footnoteRef/>
      </w:r>
      <w:r w:rsidRPr="006F4EAA">
        <w:rPr>
          <w:rFonts w:asciiTheme="minorHAnsi" w:hAnsiTheme="minorHAnsi"/>
          <w:sz w:val="16"/>
          <w:szCs w:val="16"/>
        </w:rPr>
        <w:t xml:space="preserve"> Youth wellbeing report, OECD</w:t>
      </w:r>
    </w:p>
  </w:footnote>
  <w:footnote w:id="3">
    <w:p w14:paraId="35AB3B31" w14:textId="77777777" w:rsidR="00D460D9" w:rsidRPr="006F4EAA" w:rsidRDefault="00D460D9" w:rsidP="00D460D9">
      <w:pPr>
        <w:pStyle w:val="FootnoteText"/>
        <w:rPr>
          <w:szCs w:val="16"/>
          <w:lang w:val="en-US"/>
        </w:rPr>
      </w:pPr>
      <w:r w:rsidRPr="006F4EAA">
        <w:rPr>
          <w:rStyle w:val="FootnoteReference"/>
          <w:color w:val="auto"/>
          <w:szCs w:val="16"/>
        </w:rPr>
        <w:footnoteRef/>
      </w:r>
      <w:r w:rsidRPr="006F4EAA">
        <w:rPr>
          <w:color w:val="auto"/>
          <w:szCs w:val="16"/>
        </w:rPr>
        <w:t xml:space="preserve"> </w:t>
      </w:r>
      <w:r w:rsidRPr="006F4EAA">
        <w:rPr>
          <w:color w:val="auto"/>
          <w:szCs w:val="16"/>
          <w:lang w:val="en-US"/>
        </w:rPr>
        <w:t>NRC REACH youth Assessment Zaatari and Azraq camps 2016.</w:t>
      </w:r>
      <w:r w:rsidRPr="006F4EAA">
        <w:rPr>
          <w:rFonts w:ascii="Franklin Gothic Book" w:hAnsi="Franklin Gothic Book"/>
          <w:color w:val="auto"/>
          <w:szCs w:val="16"/>
          <w:lang w:val="en-US"/>
        </w:rPr>
        <w:t xml:space="preserve"> </w:t>
      </w:r>
    </w:p>
  </w:footnote>
  <w:footnote w:id="4">
    <w:p w14:paraId="050A9DCC" w14:textId="77777777" w:rsidR="00D460D9" w:rsidRPr="006F4EAA" w:rsidRDefault="00D460D9" w:rsidP="006F4EAA">
      <w:pPr>
        <w:pStyle w:val="FootnoteText"/>
        <w:rPr>
          <w:szCs w:val="16"/>
        </w:rPr>
      </w:pPr>
      <w:r w:rsidRPr="006F4EAA">
        <w:rPr>
          <w:rStyle w:val="FootnoteReference"/>
          <w:color w:val="auto"/>
          <w:szCs w:val="16"/>
        </w:rPr>
        <w:footnoteRef/>
      </w:r>
      <w:r w:rsidRPr="006F4EAA">
        <w:rPr>
          <w:color w:val="auto"/>
          <w:szCs w:val="16"/>
        </w:rPr>
        <w:t xml:space="preserve"> </w:t>
      </w:r>
      <w:r w:rsidRPr="006F4EAA">
        <w:rPr>
          <w:color w:val="auto"/>
          <w:szCs w:val="16"/>
          <w:lang w:val="en-US"/>
        </w:rPr>
        <w:t xml:space="preserve">Jordan Department of Statistics Q1 2019 data </w:t>
      </w:r>
      <w:hyperlink r:id="rId1" w:history="1">
        <w:r w:rsidRPr="006F4EAA">
          <w:rPr>
            <w:rStyle w:val="Hyperlink"/>
            <w:szCs w:val="16"/>
          </w:rPr>
          <w:t>http://www.dos.gov.jo/owa-user/owa/emp_unemp.show_tables1?lang=E&amp;year1=2019&amp;round=1&amp;t_no=21</w:t>
        </w:r>
      </w:hyperlink>
    </w:p>
  </w:footnote>
  <w:footnote w:id="5">
    <w:p w14:paraId="03544A2B" w14:textId="77777777" w:rsidR="006F4EAA" w:rsidRPr="006D50B5" w:rsidRDefault="006F4EAA">
      <w:pPr>
        <w:pStyle w:val="FootnoteText"/>
        <w:rPr>
          <w:color w:val="auto"/>
          <w:szCs w:val="16"/>
          <w:lang w:val="en-US"/>
        </w:rPr>
      </w:pPr>
      <w:r w:rsidRPr="006D50B5">
        <w:rPr>
          <w:rStyle w:val="FootnoteReference"/>
          <w:color w:val="auto"/>
          <w:szCs w:val="16"/>
        </w:rPr>
        <w:footnoteRef/>
      </w:r>
      <w:r w:rsidRPr="006D50B5">
        <w:rPr>
          <w:color w:val="auto"/>
          <w:szCs w:val="16"/>
        </w:rPr>
        <w:t xml:space="preserve"> </w:t>
      </w:r>
      <w:r w:rsidRPr="006D50B5">
        <w:rPr>
          <w:rFonts w:ascii="Franklin Gothic Book" w:hAnsi="Franklin Gothic Book"/>
          <w:color w:val="auto"/>
          <w:szCs w:val="16"/>
        </w:rPr>
        <w:t xml:space="preserve">OECD Youth Well-Being Policy Review of Jordan. 2018. and </w:t>
      </w:r>
      <w:r w:rsidRPr="006D50B5">
        <w:rPr>
          <w:rFonts w:ascii="Franklin Gothic Book" w:hAnsi="Franklin Gothic Book"/>
          <w:color w:val="auto"/>
          <w:szCs w:val="16"/>
          <w:lang w:val="en-US"/>
        </w:rPr>
        <w:t>NRC REACH youth Assessment Zaatari and Azraq camps 2016</w:t>
      </w:r>
    </w:p>
  </w:footnote>
  <w:footnote w:id="6">
    <w:p w14:paraId="53AE09CB" w14:textId="77777777" w:rsidR="006F4EAA" w:rsidRPr="006D50B5" w:rsidRDefault="006F4EAA">
      <w:pPr>
        <w:pStyle w:val="FootnoteText"/>
        <w:rPr>
          <w:color w:val="auto"/>
          <w:lang w:val="en-US"/>
        </w:rPr>
      </w:pPr>
      <w:r w:rsidRPr="006D50B5">
        <w:rPr>
          <w:rStyle w:val="FootnoteReference"/>
          <w:color w:val="auto"/>
          <w:szCs w:val="16"/>
        </w:rPr>
        <w:footnoteRef/>
      </w:r>
      <w:r w:rsidRPr="006D50B5">
        <w:rPr>
          <w:color w:val="auto"/>
          <w:szCs w:val="16"/>
        </w:rPr>
        <w:t xml:space="preserve"> </w:t>
      </w:r>
      <w:r w:rsidRPr="006D50B5">
        <w:rPr>
          <w:rFonts w:ascii="Franklin Gothic Book" w:hAnsi="Franklin Gothic Book"/>
          <w:color w:val="auto"/>
          <w:szCs w:val="16"/>
          <w:lang w:val="en-US"/>
        </w:rPr>
        <w:t>USAID Jordan National Youth Assessment 2015</w:t>
      </w:r>
    </w:p>
  </w:footnote>
  <w:footnote w:id="7">
    <w:p w14:paraId="56BA9719" w14:textId="77777777" w:rsidR="006D50B5" w:rsidRPr="006D50B5" w:rsidRDefault="006D50B5">
      <w:pPr>
        <w:pStyle w:val="FootnoteText"/>
        <w:rPr>
          <w:lang w:val="en-US"/>
        </w:rPr>
      </w:pPr>
      <w:r w:rsidRPr="006D50B5">
        <w:rPr>
          <w:rStyle w:val="FootnoteReference"/>
          <w:color w:val="auto"/>
        </w:rPr>
        <w:footnoteRef/>
      </w:r>
      <w:r w:rsidRPr="006D50B5">
        <w:rPr>
          <w:color w:val="auto"/>
        </w:rPr>
        <w:t xml:space="preserve"> </w:t>
      </w:r>
      <w:r w:rsidRPr="006D50B5">
        <w:rPr>
          <w:rFonts w:ascii="Franklin Gothic Book" w:hAnsi="Franklin Gothic Book"/>
          <w:color w:val="auto"/>
          <w:szCs w:val="16"/>
        </w:rPr>
        <w:t>OECD Youth Well-Being Policy Review of Jordan.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218A1" w14:textId="77777777" w:rsidR="00AC5D1A" w:rsidRDefault="00AC5D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35AB9" w14:textId="77777777" w:rsidR="00951B16" w:rsidRPr="00F841EC" w:rsidRDefault="000B7CD4" w:rsidP="000B7CD4">
    <w:pPr>
      <w:pStyle w:val="Header"/>
      <w:rPr>
        <w:lang w:val="nb-NO"/>
      </w:rPr>
    </w:pPr>
    <w:r w:rsidRPr="00836AC1">
      <w:rPr>
        <w:b/>
        <w:noProof/>
        <w:szCs w:val="18"/>
        <w:lang w:val="en-US"/>
      </w:rPr>
      <w:drawing>
        <wp:anchor distT="0" distB="0" distL="114300" distR="114300" simplePos="0" relativeHeight="251660288" behindDoc="0" locked="0" layoutInCell="1" allowOverlap="1" wp14:anchorId="4685C30D" wp14:editId="42B63B47">
          <wp:simplePos x="0" y="0"/>
          <wp:positionH relativeFrom="column">
            <wp:posOffset>3828197</wp:posOffset>
          </wp:positionH>
          <wp:positionV relativeFrom="paragraph">
            <wp:posOffset>-313737</wp:posOffset>
          </wp:positionV>
          <wp:extent cx="2244336" cy="779031"/>
          <wp:effectExtent l="0" t="0" r="381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9993" cy="784466"/>
                  </a:xfrm>
                  <a:prstGeom prst="rect">
                    <a:avLst/>
                  </a:prstGeom>
                  <a:noFill/>
                  <a:ln>
                    <a:noFill/>
                  </a:ln>
                </pic:spPr>
              </pic:pic>
            </a:graphicData>
          </a:graphic>
          <wp14:sizeRelH relativeFrom="page">
            <wp14:pctWidth>0</wp14:pctWidth>
          </wp14:sizeRelH>
          <wp14:sizeRelV relativeFrom="page">
            <wp14:pctHeight>0</wp14:pctHeight>
          </wp14:sizeRelV>
        </wp:anchor>
      </w:drawing>
    </w:r>
    <w:r>
      <w:rPr>
        <w:b/>
        <w:szCs w:val="18"/>
      </w:rPr>
      <w:t>RFQ</w:t>
    </w:r>
    <w:r w:rsidRPr="00836AC1">
      <w:rPr>
        <w:b/>
        <w:szCs w:val="18"/>
      </w:rPr>
      <w:t>/</w:t>
    </w:r>
    <w:r>
      <w:rPr>
        <w:b/>
        <w:szCs w:val="18"/>
      </w:rPr>
      <w:t>JDFY/2020</w:t>
    </w:r>
    <w:r w:rsidRPr="00836AC1">
      <w:rPr>
        <w:b/>
        <w:szCs w:val="18"/>
      </w:rPr>
      <w:t>/0</w:t>
    </w:r>
    <w:r>
      <w:rPr>
        <w:b/>
        <w:szCs w:val="18"/>
      </w:rPr>
      <w:t>14</w:t>
    </w:r>
    <w:r>
      <w:rPr>
        <w:b/>
        <w:sz w:val="24"/>
      </w:rPr>
      <w:br/>
    </w:r>
    <w:r>
      <w:rPr>
        <w:b/>
        <w:szCs w:val="18"/>
      </w:rPr>
      <w:t>Consutlancy – Youth Programme Evaluation in Camps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58F43" w14:textId="77777777" w:rsidR="00AC5D1A" w:rsidRDefault="00AC5D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A17"/>
    <w:multiLevelType w:val="hybridMultilevel"/>
    <w:tmpl w:val="19C031DC"/>
    <w:lvl w:ilvl="0" w:tplc="E1588726">
      <w:start w:val="1"/>
      <w:numFmt w:val="decimal"/>
      <w:lvlText w:val="%1."/>
      <w:lvlJc w:val="left"/>
      <w:pPr>
        <w:ind w:left="720" w:hanging="360"/>
      </w:pPr>
      <w:rPr>
        <w:rFonts w:ascii="Calibri" w:hAnsi="Calibri" w:cs="Times New Roman" w:hint="default"/>
        <w:sz w:val="22"/>
        <w:szCs w:val="22"/>
      </w:rPr>
    </w:lvl>
    <w:lvl w:ilvl="1" w:tplc="332466DA">
      <w:start w:val="1"/>
      <w:numFmt w:val="bullet"/>
      <w:lvlText w:val=""/>
      <w:lvlJc w:val="left"/>
      <w:pPr>
        <w:ind w:left="1440" w:hanging="360"/>
      </w:pPr>
      <w:rPr>
        <w:rFonts w:ascii="Symbol" w:hAnsi="Symbol" w:hint="default"/>
        <w:sz w:val="20"/>
        <w:szCs w:val="2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2C854E3"/>
    <w:multiLevelType w:val="hybridMultilevel"/>
    <w:tmpl w:val="D482F532"/>
    <w:lvl w:ilvl="0" w:tplc="E57ED852">
      <w:numFmt w:val="bullet"/>
      <w:lvlText w:val="-"/>
      <w:lvlJc w:val="left"/>
      <w:pPr>
        <w:ind w:left="360" w:hanging="360"/>
      </w:pPr>
      <w:rPr>
        <w:rFonts w:ascii="Franklin Gothic Book" w:eastAsiaTheme="minorHAnsi" w:hAnsi="Franklin Gothic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B159F8"/>
    <w:multiLevelType w:val="hybridMultilevel"/>
    <w:tmpl w:val="05F60C60"/>
    <w:lvl w:ilvl="0" w:tplc="5F023A04">
      <w:numFmt w:val="bullet"/>
      <w:lvlText w:val="•"/>
      <w:lvlJc w:val="left"/>
      <w:pPr>
        <w:ind w:left="405" w:hanging="360"/>
      </w:pPr>
      <w:rPr>
        <w:rFonts w:ascii="Franklin Gothic Book" w:eastAsiaTheme="minorHAnsi" w:hAnsi="Franklin Gothic Book"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1D946B66"/>
    <w:multiLevelType w:val="hybridMultilevel"/>
    <w:tmpl w:val="65C23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B10808"/>
    <w:multiLevelType w:val="hybridMultilevel"/>
    <w:tmpl w:val="E29C2A34"/>
    <w:lvl w:ilvl="0" w:tplc="EE746E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FE01CC"/>
    <w:multiLevelType w:val="hybridMultilevel"/>
    <w:tmpl w:val="276CBA62"/>
    <w:lvl w:ilvl="0" w:tplc="E1588726">
      <w:start w:val="1"/>
      <w:numFmt w:val="decimal"/>
      <w:lvlText w:val="%1."/>
      <w:lvlJc w:val="left"/>
      <w:pPr>
        <w:ind w:left="720" w:hanging="360"/>
      </w:pPr>
      <w:rPr>
        <w:rFonts w:ascii="Calibri" w:hAnsi="Calibri" w:cs="Times New Roman"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C5964EC"/>
    <w:multiLevelType w:val="hybridMultilevel"/>
    <w:tmpl w:val="E8185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976E7C"/>
    <w:multiLevelType w:val="hybridMultilevel"/>
    <w:tmpl w:val="90BCF930"/>
    <w:lvl w:ilvl="0" w:tplc="5A18DEA8">
      <w:start w:val="1"/>
      <w:numFmt w:val="bullet"/>
      <w:pStyle w:val="ListBullet"/>
      <w:lvlText w:val="•"/>
      <w:lvlJc w:val="left"/>
      <w:pPr>
        <w:tabs>
          <w:tab w:val="num" w:pos="360"/>
        </w:tabs>
        <w:ind w:left="360" w:hanging="360"/>
      </w:pPr>
      <w:rPr>
        <w:rFonts w:ascii="Franklin Gothic Book" w:hAnsi="Franklin Gothic Book"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63823F8"/>
    <w:multiLevelType w:val="hybridMultilevel"/>
    <w:tmpl w:val="EAD6D60A"/>
    <w:lvl w:ilvl="0" w:tplc="AF804A4E">
      <w:start w:val="1"/>
      <w:numFmt w:val="decimal"/>
      <w:pStyle w:val="ListParagraph"/>
      <w:lvlText w:val="%1."/>
      <w:lvlJc w:val="left"/>
      <w:pPr>
        <w:ind w:left="36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9" w15:restartNumberingAfterBreak="0">
    <w:nsid w:val="4C675F6D"/>
    <w:multiLevelType w:val="hybridMultilevel"/>
    <w:tmpl w:val="FFFFFFFF"/>
    <w:lvl w:ilvl="0" w:tplc="3BD827E0">
      <w:start w:val="1"/>
      <w:numFmt w:val="bullet"/>
      <w:lvlText w:val=""/>
      <w:lvlJc w:val="left"/>
      <w:pPr>
        <w:ind w:left="720" w:hanging="360"/>
      </w:pPr>
      <w:rPr>
        <w:rFonts w:ascii="Symbol" w:hAnsi="Symbol" w:hint="default"/>
      </w:rPr>
    </w:lvl>
    <w:lvl w:ilvl="1" w:tplc="01CEB0AA">
      <w:start w:val="1"/>
      <w:numFmt w:val="bullet"/>
      <w:lvlText w:val="o"/>
      <w:lvlJc w:val="left"/>
      <w:pPr>
        <w:ind w:left="1440" w:hanging="360"/>
      </w:pPr>
      <w:rPr>
        <w:rFonts w:ascii="Courier New" w:hAnsi="Courier New" w:hint="default"/>
      </w:rPr>
    </w:lvl>
    <w:lvl w:ilvl="2" w:tplc="204689D2">
      <w:start w:val="1"/>
      <w:numFmt w:val="bullet"/>
      <w:lvlText w:val=""/>
      <w:lvlJc w:val="left"/>
      <w:pPr>
        <w:ind w:left="2160" w:hanging="360"/>
      </w:pPr>
      <w:rPr>
        <w:rFonts w:ascii="Wingdings" w:hAnsi="Wingdings" w:hint="default"/>
      </w:rPr>
    </w:lvl>
    <w:lvl w:ilvl="3" w:tplc="B69E3DA6">
      <w:start w:val="1"/>
      <w:numFmt w:val="bullet"/>
      <w:lvlText w:val=""/>
      <w:lvlJc w:val="left"/>
      <w:pPr>
        <w:ind w:left="2880" w:hanging="360"/>
      </w:pPr>
      <w:rPr>
        <w:rFonts w:ascii="Symbol" w:hAnsi="Symbol" w:hint="default"/>
      </w:rPr>
    </w:lvl>
    <w:lvl w:ilvl="4" w:tplc="7E505038">
      <w:start w:val="1"/>
      <w:numFmt w:val="bullet"/>
      <w:lvlText w:val="o"/>
      <w:lvlJc w:val="left"/>
      <w:pPr>
        <w:ind w:left="3600" w:hanging="360"/>
      </w:pPr>
      <w:rPr>
        <w:rFonts w:ascii="Courier New" w:hAnsi="Courier New" w:hint="default"/>
      </w:rPr>
    </w:lvl>
    <w:lvl w:ilvl="5" w:tplc="CC36C6BA">
      <w:start w:val="1"/>
      <w:numFmt w:val="bullet"/>
      <w:lvlText w:val=""/>
      <w:lvlJc w:val="left"/>
      <w:pPr>
        <w:ind w:left="4320" w:hanging="360"/>
      </w:pPr>
      <w:rPr>
        <w:rFonts w:ascii="Wingdings" w:hAnsi="Wingdings" w:hint="default"/>
      </w:rPr>
    </w:lvl>
    <w:lvl w:ilvl="6" w:tplc="51D4A210">
      <w:start w:val="1"/>
      <w:numFmt w:val="bullet"/>
      <w:lvlText w:val=""/>
      <w:lvlJc w:val="left"/>
      <w:pPr>
        <w:ind w:left="5040" w:hanging="360"/>
      </w:pPr>
      <w:rPr>
        <w:rFonts w:ascii="Symbol" w:hAnsi="Symbol" w:hint="default"/>
      </w:rPr>
    </w:lvl>
    <w:lvl w:ilvl="7" w:tplc="E550B2C2">
      <w:start w:val="1"/>
      <w:numFmt w:val="bullet"/>
      <w:lvlText w:val="o"/>
      <w:lvlJc w:val="left"/>
      <w:pPr>
        <w:ind w:left="5760" w:hanging="360"/>
      </w:pPr>
      <w:rPr>
        <w:rFonts w:ascii="Courier New" w:hAnsi="Courier New" w:hint="default"/>
      </w:rPr>
    </w:lvl>
    <w:lvl w:ilvl="8" w:tplc="6F7084E4">
      <w:start w:val="1"/>
      <w:numFmt w:val="bullet"/>
      <w:lvlText w:val=""/>
      <w:lvlJc w:val="left"/>
      <w:pPr>
        <w:ind w:left="6480" w:hanging="360"/>
      </w:pPr>
      <w:rPr>
        <w:rFonts w:ascii="Wingdings" w:hAnsi="Wingdings" w:hint="default"/>
      </w:rPr>
    </w:lvl>
  </w:abstractNum>
  <w:abstractNum w:abstractNumId="10" w15:restartNumberingAfterBreak="0">
    <w:nsid w:val="4E3E6CFA"/>
    <w:multiLevelType w:val="hybridMultilevel"/>
    <w:tmpl w:val="19588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ED105A"/>
    <w:multiLevelType w:val="hybridMultilevel"/>
    <w:tmpl w:val="44C21A20"/>
    <w:lvl w:ilvl="0" w:tplc="0284F8DA">
      <w:start w:val="4"/>
      <w:numFmt w:val="bullet"/>
      <w:lvlText w:val="-"/>
      <w:lvlJc w:val="left"/>
      <w:pPr>
        <w:ind w:left="720" w:hanging="360"/>
      </w:pPr>
      <w:rPr>
        <w:rFonts w:ascii="Franklin Gothic Book" w:eastAsia="Times New Roman" w:hAnsi="Franklin Gothic Book"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1C7A17"/>
    <w:multiLevelType w:val="multilevel"/>
    <w:tmpl w:val="C240CB38"/>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504" w:hanging="504"/>
      </w:pPr>
      <w:rPr>
        <w:rFonts w:ascii="Franklin Gothic Book" w:hAnsi="Franklin Gothic Book" w:hint="default"/>
        <w:b w:val="0"/>
        <w:bCs w:val="0"/>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944E63"/>
    <w:multiLevelType w:val="hybridMultilevel"/>
    <w:tmpl w:val="CAD4BA12"/>
    <w:lvl w:ilvl="0" w:tplc="E57ED852">
      <w:numFmt w:val="bullet"/>
      <w:lvlText w:val="-"/>
      <w:lvlJc w:val="left"/>
      <w:pPr>
        <w:ind w:left="360" w:hanging="360"/>
      </w:pPr>
      <w:rPr>
        <w:rFonts w:ascii="Franklin Gothic Book" w:eastAsiaTheme="minorHAnsi"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B60CF5"/>
    <w:multiLevelType w:val="hybridMultilevel"/>
    <w:tmpl w:val="EB5811B2"/>
    <w:lvl w:ilvl="0" w:tplc="1D164E42">
      <w:start w:val="1"/>
      <w:numFmt w:val="lowerLetter"/>
      <w:pStyle w:val="Bokstavliste"/>
      <w:lvlText w:val="%1."/>
      <w:lvlJc w:val="left"/>
      <w:pPr>
        <w:tabs>
          <w:tab w:val="num" w:pos="567"/>
        </w:tabs>
        <w:ind w:left="567" w:hanging="454"/>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5" w15:restartNumberingAfterBreak="0">
    <w:nsid w:val="63C65EC0"/>
    <w:multiLevelType w:val="hybridMultilevel"/>
    <w:tmpl w:val="599E90F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6A587F89"/>
    <w:multiLevelType w:val="hybridMultilevel"/>
    <w:tmpl w:val="883E5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8D0EE1D0">
      <w:start w:val="3"/>
      <w:numFmt w:val="bullet"/>
      <w:lvlText w:val="-"/>
      <w:lvlJc w:val="left"/>
      <w:pPr>
        <w:ind w:left="360" w:hanging="360"/>
      </w:pPr>
      <w:rPr>
        <w:rFonts w:ascii="Calibri" w:eastAsia="Times New Roman"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9C3C21"/>
    <w:multiLevelType w:val="hybridMultilevel"/>
    <w:tmpl w:val="15AA6A1E"/>
    <w:lvl w:ilvl="0" w:tplc="E1588726">
      <w:start w:val="1"/>
      <w:numFmt w:val="decimal"/>
      <w:lvlText w:val="%1."/>
      <w:lvlJc w:val="left"/>
      <w:pPr>
        <w:ind w:left="720" w:hanging="360"/>
      </w:pPr>
      <w:rPr>
        <w:rFonts w:ascii="Calibri" w:hAnsi="Calibri" w:cs="Times New Roman"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E5E663F"/>
    <w:multiLevelType w:val="hybridMultilevel"/>
    <w:tmpl w:val="B0C04AF2"/>
    <w:lvl w:ilvl="0" w:tplc="8EFE17EA">
      <w:start w:val="1"/>
      <w:numFmt w:val="bullet"/>
      <w:lvlText w:val=""/>
      <w:lvlJc w:val="left"/>
      <w:pPr>
        <w:ind w:left="720" w:hanging="360"/>
      </w:pPr>
      <w:rPr>
        <w:rFonts w:ascii="Symbol" w:hAnsi="Symbol" w:hint="default"/>
      </w:rPr>
    </w:lvl>
    <w:lvl w:ilvl="1" w:tplc="C11A83C0">
      <w:start w:val="1"/>
      <w:numFmt w:val="bullet"/>
      <w:lvlText w:val="o"/>
      <w:lvlJc w:val="left"/>
      <w:pPr>
        <w:ind w:left="1440" w:hanging="360"/>
      </w:pPr>
      <w:rPr>
        <w:rFonts w:ascii="Courier New" w:hAnsi="Courier New" w:hint="default"/>
      </w:rPr>
    </w:lvl>
    <w:lvl w:ilvl="2" w:tplc="D7B6F7B6">
      <w:start w:val="1"/>
      <w:numFmt w:val="bullet"/>
      <w:lvlText w:val=""/>
      <w:lvlJc w:val="left"/>
      <w:pPr>
        <w:ind w:left="2160" w:hanging="360"/>
      </w:pPr>
      <w:rPr>
        <w:rFonts w:ascii="Wingdings" w:hAnsi="Wingdings" w:hint="default"/>
      </w:rPr>
    </w:lvl>
    <w:lvl w:ilvl="3" w:tplc="989AD0FA">
      <w:start w:val="1"/>
      <w:numFmt w:val="bullet"/>
      <w:lvlText w:val=""/>
      <w:lvlJc w:val="left"/>
      <w:pPr>
        <w:ind w:left="2880" w:hanging="360"/>
      </w:pPr>
      <w:rPr>
        <w:rFonts w:ascii="Symbol" w:hAnsi="Symbol" w:hint="default"/>
      </w:rPr>
    </w:lvl>
    <w:lvl w:ilvl="4" w:tplc="C7746AB4">
      <w:start w:val="1"/>
      <w:numFmt w:val="bullet"/>
      <w:lvlText w:val="o"/>
      <w:lvlJc w:val="left"/>
      <w:pPr>
        <w:ind w:left="3600" w:hanging="360"/>
      </w:pPr>
      <w:rPr>
        <w:rFonts w:ascii="Courier New" w:hAnsi="Courier New" w:hint="default"/>
      </w:rPr>
    </w:lvl>
    <w:lvl w:ilvl="5" w:tplc="F20C7C84">
      <w:start w:val="1"/>
      <w:numFmt w:val="bullet"/>
      <w:lvlText w:val=""/>
      <w:lvlJc w:val="left"/>
      <w:pPr>
        <w:ind w:left="4320" w:hanging="360"/>
      </w:pPr>
      <w:rPr>
        <w:rFonts w:ascii="Wingdings" w:hAnsi="Wingdings" w:hint="default"/>
      </w:rPr>
    </w:lvl>
    <w:lvl w:ilvl="6" w:tplc="4B1AA8F6">
      <w:start w:val="1"/>
      <w:numFmt w:val="bullet"/>
      <w:lvlText w:val=""/>
      <w:lvlJc w:val="left"/>
      <w:pPr>
        <w:ind w:left="5040" w:hanging="360"/>
      </w:pPr>
      <w:rPr>
        <w:rFonts w:ascii="Symbol" w:hAnsi="Symbol" w:hint="default"/>
      </w:rPr>
    </w:lvl>
    <w:lvl w:ilvl="7" w:tplc="786EB036">
      <w:start w:val="1"/>
      <w:numFmt w:val="bullet"/>
      <w:lvlText w:val="o"/>
      <w:lvlJc w:val="left"/>
      <w:pPr>
        <w:ind w:left="5760" w:hanging="360"/>
      </w:pPr>
      <w:rPr>
        <w:rFonts w:ascii="Courier New" w:hAnsi="Courier New" w:hint="default"/>
      </w:rPr>
    </w:lvl>
    <w:lvl w:ilvl="8" w:tplc="ACB2B358">
      <w:start w:val="1"/>
      <w:numFmt w:val="bullet"/>
      <w:lvlText w:val=""/>
      <w:lvlJc w:val="left"/>
      <w:pPr>
        <w:ind w:left="6480" w:hanging="360"/>
      </w:pPr>
      <w:rPr>
        <w:rFonts w:ascii="Wingdings" w:hAnsi="Wingdings" w:hint="default"/>
      </w:rPr>
    </w:lvl>
  </w:abstractNum>
  <w:abstractNum w:abstractNumId="19" w15:restartNumberingAfterBreak="0">
    <w:nsid w:val="709B4C38"/>
    <w:multiLevelType w:val="hybridMultilevel"/>
    <w:tmpl w:val="A6326FB6"/>
    <w:lvl w:ilvl="0" w:tplc="9DC2CD12">
      <w:start w:val="2001"/>
      <w:numFmt w:val="bullet"/>
      <w:lvlText w:val="-"/>
      <w:lvlJc w:val="left"/>
      <w:pPr>
        <w:ind w:left="720" w:hanging="360"/>
      </w:pPr>
      <w:rPr>
        <w:rFonts w:ascii="Franklin Gothic Book" w:eastAsiaTheme="minorHAnsi" w:hAnsi="Franklin Gothic Book"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BA6BF5"/>
    <w:multiLevelType w:val="hybridMultilevel"/>
    <w:tmpl w:val="B5540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B73A1C"/>
    <w:multiLevelType w:val="hybridMultilevel"/>
    <w:tmpl w:val="E7401270"/>
    <w:lvl w:ilvl="0" w:tplc="9DC2CD12">
      <w:start w:val="2001"/>
      <w:numFmt w:val="bullet"/>
      <w:lvlText w:val="-"/>
      <w:lvlJc w:val="left"/>
      <w:pPr>
        <w:ind w:left="720" w:hanging="360"/>
      </w:pPr>
      <w:rPr>
        <w:rFonts w:ascii="Franklin Gothic Book" w:eastAsiaTheme="minorHAnsi" w:hAnsi="Franklin Gothic Book"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12"/>
  </w:num>
  <w:num w:numId="5">
    <w:abstractNumId w:val="14"/>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0"/>
  </w:num>
  <w:num w:numId="11">
    <w:abstractNumId w:val="21"/>
  </w:num>
  <w:num w:numId="12">
    <w:abstractNumId w:val="17"/>
  </w:num>
  <w:num w:numId="13">
    <w:abstractNumId w:val="6"/>
  </w:num>
  <w:num w:numId="14">
    <w:abstractNumId w:val="16"/>
  </w:num>
  <w:num w:numId="15">
    <w:abstractNumId w:val="11"/>
  </w:num>
  <w:num w:numId="16">
    <w:abstractNumId w:val="20"/>
  </w:num>
  <w:num w:numId="17">
    <w:abstractNumId w:val="15"/>
  </w:num>
  <w:num w:numId="18">
    <w:abstractNumId w:val="18"/>
  </w:num>
  <w:num w:numId="19">
    <w:abstractNumId w:val="1"/>
  </w:num>
  <w:num w:numId="20">
    <w:abstractNumId w:val="13"/>
  </w:num>
  <w:num w:numId="21">
    <w:abstractNumId w:val="2"/>
  </w:num>
  <w:num w:numId="22">
    <w:abstractNumId w:val="19"/>
  </w:num>
  <w:num w:numId="23">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UwNDYzMzW1NLG0NDNX0lEKTi0uzszPAykwqQUAeZFv6SwAAAA="/>
  </w:docVars>
  <w:rsids>
    <w:rsidRoot w:val="000D7090"/>
    <w:rsid w:val="00000C9B"/>
    <w:rsid w:val="000017F2"/>
    <w:rsid w:val="000120D9"/>
    <w:rsid w:val="00013AD8"/>
    <w:rsid w:val="000143E0"/>
    <w:rsid w:val="00026EB7"/>
    <w:rsid w:val="00037005"/>
    <w:rsid w:val="000436B2"/>
    <w:rsid w:val="00045685"/>
    <w:rsid w:val="0005317E"/>
    <w:rsid w:val="00056936"/>
    <w:rsid w:val="00057C67"/>
    <w:rsid w:val="000621AD"/>
    <w:rsid w:val="00066AB8"/>
    <w:rsid w:val="000713D1"/>
    <w:rsid w:val="000751FA"/>
    <w:rsid w:val="00077A10"/>
    <w:rsid w:val="0008169C"/>
    <w:rsid w:val="00090EB5"/>
    <w:rsid w:val="00091EBF"/>
    <w:rsid w:val="000B5516"/>
    <w:rsid w:val="000B7CD4"/>
    <w:rsid w:val="000C21B0"/>
    <w:rsid w:val="000C5E8C"/>
    <w:rsid w:val="000D7090"/>
    <w:rsid w:val="000E1BD4"/>
    <w:rsid w:val="000F34AB"/>
    <w:rsid w:val="000F39F8"/>
    <w:rsid w:val="001138CC"/>
    <w:rsid w:val="00125B3C"/>
    <w:rsid w:val="00130F86"/>
    <w:rsid w:val="00136F9F"/>
    <w:rsid w:val="00143091"/>
    <w:rsid w:val="001570DF"/>
    <w:rsid w:val="00157363"/>
    <w:rsid w:val="00164559"/>
    <w:rsid w:val="00166AEA"/>
    <w:rsid w:val="0017792A"/>
    <w:rsid w:val="00182147"/>
    <w:rsid w:val="0019452C"/>
    <w:rsid w:val="001A210B"/>
    <w:rsid w:val="001B0873"/>
    <w:rsid w:val="001B6690"/>
    <w:rsid w:val="001D257E"/>
    <w:rsid w:val="001E53A9"/>
    <w:rsid w:val="001F7850"/>
    <w:rsid w:val="00206EF8"/>
    <w:rsid w:val="002172E0"/>
    <w:rsid w:val="0023045C"/>
    <w:rsid w:val="00232456"/>
    <w:rsid w:val="00233FA4"/>
    <w:rsid w:val="00250AD9"/>
    <w:rsid w:val="00251AF4"/>
    <w:rsid w:val="00282EA8"/>
    <w:rsid w:val="00292BF4"/>
    <w:rsid w:val="0029558E"/>
    <w:rsid w:val="002A4411"/>
    <w:rsid w:val="002A4F2E"/>
    <w:rsid w:val="002A7219"/>
    <w:rsid w:val="002B172F"/>
    <w:rsid w:val="002B5D94"/>
    <w:rsid w:val="002B5EF9"/>
    <w:rsid w:val="002C13B8"/>
    <w:rsid w:val="002C39F8"/>
    <w:rsid w:val="002D2B9C"/>
    <w:rsid w:val="002D36FA"/>
    <w:rsid w:val="002E2848"/>
    <w:rsid w:val="002E2C93"/>
    <w:rsid w:val="003014E7"/>
    <w:rsid w:val="0030329D"/>
    <w:rsid w:val="003049B5"/>
    <w:rsid w:val="00313FE6"/>
    <w:rsid w:val="003162AD"/>
    <w:rsid w:val="003202E1"/>
    <w:rsid w:val="00326CD0"/>
    <w:rsid w:val="0033275B"/>
    <w:rsid w:val="003452DE"/>
    <w:rsid w:val="00351EBD"/>
    <w:rsid w:val="003637EE"/>
    <w:rsid w:val="00377A0F"/>
    <w:rsid w:val="00383E41"/>
    <w:rsid w:val="00387B35"/>
    <w:rsid w:val="00390848"/>
    <w:rsid w:val="003911AC"/>
    <w:rsid w:val="003A0C2C"/>
    <w:rsid w:val="003A4357"/>
    <w:rsid w:val="003A554D"/>
    <w:rsid w:val="003A678D"/>
    <w:rsid w:val="003A7AE9"/>
    <w:rsid w:val="003B4E3C"/>
    <w:rsid w:val="003B58DB"/>
    <w:rsid w:val="003C1556"/>
    <w:rsid w:val="003D0624"/>
    <w:rsid w:val="003D251E"/>
    <w:rsid w:val="003E2A26"/>
    <w:rsid w:val="003E2EA5"/>
    <w:rsid w:val="003F34FF"/>
    <w:rsid w:val="003F3CBC"/>
    <w:rsid w:val="003F431E"/>
    <w:rsid w:val="003F575E"/>
    <w:rsid w:val="004121D9"/>
    <w:rsid w:val="00427A94"/>
    <w:rsid w:val="00430947"/>
    <w:rsid w:val="00431572"/>
    <w:rsid w:val="004356B6"/>
    <w:rsid w:val="00437FC0"/>
    <w:rsid w:val="004433F5"/>
    <w:rsid w:val="00446442"/>
    <w:rsid w:val="0045418E"/>
    <w:rsid w:val="00454F70"/>
    <w:rsid w:val="004573C8"/>
    <w:rsid w:val="00461BC5"/>
    <w:rsid w:val="00461E87"/>
    <w:rsid w:val="00462023"/>
    <w:rsid w:val="004635DA"/>
    <w:rsid w:val="00465D0E"/>
    <w:rsid w:val="00467D88"/>
    <w:rsid w:val="00470D39"/>
    <w:rsid w:val="00473BA0"/>
    <w:rsid w:val="004830BA"/>
    <w:rsid w:val="004866D0"/>
    <w:rsid w:val="004A7E1D"/>
    <w:rsid w:val="004B5714"/>
    <w:rsid w:val="004C105D"/>
    <w:rsid w:val="004C46CB"/>
    <w:rsid w:val="004D4FAF"/>
    <w:rsid w:val="004D5EFF"/>
    <w:rsid w:val="004E1292"/>
    <w:rsid w:val="004E2093"/>
    <w:rsid w:val="004E6523"/>
    <w:rsid w:val="00501F1F"/>
    <w:rsid w:val="00502E29"/>
    <w:rsid w:val="00520F6C"/>
    <w:rsid w:val="0052605F"/>
    <w:rsid w:val="00534E38"/>
    <w:rsid w:val="005377F1"/>
    <w:rsid w:val="00544D13"/>
    <w:rsid w:val="005460E0"/>
    <w:rsid w:val="00555E70"/>
    <w:rsid w:val="005649B8"/>
    <w:rsid w:val="00567E68"/>
    <w:rsid w:val="005A3450"/>
    <w:rsid w:val="005B113B"/>
    <w:rsid w:val="005B1809"/>
    <w:rsid w:val="005E47C0"/>
    <w:rsid w:val="0060230D"/>
    <w:rsid w:val="00605EFC"/>
    <w:rsid w:val="006102F2"/>
    <w:rsid w:val="00611FA4"/>
    <w:rsid w:val="00616C9C"/>
    <w:rsid w:val="0062174F"/>
    <w:rsid w:val="00623C8C"/>
    <w:rsid w:val="00635640"/>
    <w:rsid w:val="0064322E"/>
    <w:rsid w:val="0065397E"/>
    <w:rsid w:val="00656371"/>
    <w:rsid w:val="00664A5B"/>
    <w:rsid w:val="0066796D"/>
    <w:rsid w:val="00676016"/>
    <w:rsid w:val="00683812"/>
    <w:rsid w:val="006912D6"/>
    <w:rsid w:val="00695B1D"/>
    <w:rsid w:val="00695C7D"/>
    <w:rsid w:val="00695D0B"/>
    <w:rsid w:val="006968EE"/>
    <w:rsid w:val="006A05E8"/>
    <w:rsid w:val="006A1CBD"/>
    <w:rsid w:val="006A7697"/>
    <w:rsid w:val="006B77EA"/>
    <w:rsid w:val="006C599B"/>
    <w:rsid w:val="006D3F5D"/>
    <w:rsid w:val="006D50B5"/>
    <w:rsid w:val="006E1DBD"/>
    <w:rsid w:val="006E2A23"/>
    <w:rsid w:val="006E49A7"/>
    <w:rsid w:val="006F4854"/>
    <w:rsid w:val="006F4EAA"/>
    <w:rsid w:val="0070673D"/>
    <w:rsid w:val="0070776C"/>
    <w:rsid w:val="00720FC5"/>
    <w:rsid w:val="00721213"/>
    <w:rsid w:val="007240BD"/>
    <w:rsid w:val="00725F82"/>
    <w:rsid w:val="0074001E"/>
    <w:rsid w:val="00744863"/>
    <w:rsid w:val="00746EE7"/>
    <w:rsid w:val="00752417"/>
    <w:rsid w:val="00755F87"/>
    <w:rsid w:val="00777AA3"/>
    <w:rsid w:val="007868CE"/>
    <w:rsid w:val="0079326D"/>
    <w:rsid w:val="007954BD"/>
    <w:rsid w:val="007A2EED"/>
    <w:rsid w:val="007A5B0D"/>
    <w:rsid w:val="007B7F17"/>
    <w:rsid w:val="007C6471"/>
    <w:rsid w:val="007D172E"/>
    <w:rsid w:val="007D7193"/>
    <w:rsid w:val="007E66FD"/>
    <w:rsid w:val="007F0D7F"/>
    <w:rsid w:val="007F36CC"/>
    <w:rsid w:val="007F6490"/>
    <w:rsid w:val="007F7E76"/>
    <w:rsid w:val="00804A8C"/>
    <w:rsid w:val="00806A18"/>
    <w:rsid w:val="00815B63"/>
    <w:rsid w:val="00820678"/>
    <w:rsid w:val="008302B9"/>
    <w:rsid w:val="00835D42"/>
    <w:rsid w:val="00842517"/>
    <w:rsid w:val="00844B98"/>
    <w:rsid w:val="00885ECB"/>
    <w:rsid w:val="008A4B27"/>
    <w:rsid w:val="008B7421"/>
    <w:rsid w:val="008C24B7"/>
    <w:rsid w:val="008C5B82"/>
    <w:rsid w:val="008D28A9"/>
    <w:rsid w:val="008D337A"/>
    <w:rsid w:val="008D7A49"/>
    <w:rsid w:val="008E1710"/>
    <w:rsid w:val="008F1D3A"/>
    <w:rsid w:val="0090485F"/>
    <w:rsid w:val="00912719"/>
    <w:rsid w:val="009324C9"/>
    <w:rsid w:val="00933310"/>
    <w:rsid w:val="00935FB2"/>
    <w:rsid w:val="00943019"/>
    <w:rsid w:val="009430F7"/>
    <w:rsid w:val="009468CB"/>
    <w:rsid w:val="00951B16"/>
    <w:rsid w:val="00962662"/>
    <w:rsid w:val="009629D5"/>
    <w:rsid w:val="0096785C"/>
    <w:rsid w:val="009754D8"/>
    <w:rsid w:val="009854AC"/>
    <w:rsid w:val="009A1B55"/>
    <w:rsid w:val="009A56C6"/>
    <w:rsid w:val="009B0107"/>
    <w:rsid w:val="009B5434"/>
    <w:rsid w:val="009B6F1B"/>
    <w:rsid w:val="009D2FD2"/>
    <w:rsid w:val="009D6303"/>
    <w:rsid w:val="009D7DB3"/>
    <w:rsid w:val="009E49A7"/>
    <w:rsid w:val="009E5096"/>
    <w:rsid w:val="009E5E1D"/>
    <w:rsid w:val="009E5F17"/>
    <w:rsid w:val="009F0346"/>
    <w:rsid w:val="009F049D"/>
    <w:rsid w:val="009F1F9A"/>
    <w:rsid w:val="009F3402"/>
    <w:rsid w:val="009F5376"/>
    <w:rsid w:val="009F741F"/>
    <w:rsid w:val="00A02FB5"/>
    <w:rsid w:val="00A057B6"/>
    <w:rsid w:val="00A13146"/>
    <w:rsid w:val="00A15269"/>
    <w:rsid w:val="00A16888"/>
    <w:rsid w:val="00A26237"/>
    <w:rsid w:val="00A3097E"/>
    <w:rsid w:val="00A4273A"/>
    <w:rsid w:val="00A43C1C"/>
    <w:rsid w:val="00A766BB"/>
    <w:rsid w:val="00A81E96"/>
    <w:rsid w:val="00A90369"/>
    <w:rsid w:val="00A92BF5"/>
    <w:rsid w:val="00A950D6"/>
    <w:rsid w:val="00A97640"/>
    <w:rsid w:val="00AA2FC9"/>
    <w:rsid w:val="00AA5180"/>
    <w:rsid w:val="00AA5A18"/>
    <w:rsid w:val="00AA6071"/>
    <w:rsid w:val="00AB3ADF"/>
    <w:rsid w:val="00AB5FAC"/>
    <w:rsid w:val="00AC4408"/>
    <w:rsid w:val="00AC5D1A"/>
    <w:rsid w:val="00AC66E0"/>
    <w:rsid w:val="00AC683B"/>
    <w:rsid w:val="00AD29EE"/>
    <w:rsid w:val="00AD7E59"/>
    <w:rsid w:val="00AE4791"/>
    <w:rsid w:val="00AF0282"/>
    <w:rsid w:val="00AF3779"/>
    <w:rsid w:val="00AF7433"/>
    <w:rsid w:val="00AF7E94"/>
    <w:rsid w:val="00B02AA6"/>
    <w:rsid w:val="00B12605"/>
    <w:rsid w:val="00B14103"/>
    <w:rsid w:val="00B141FF"/>
    <w:rsid w:val="00B14745"/>
    <w:rsid w:val="00B152B6"/>
    <w:rsid w:val="00B21751"/>
    <w:rsid w:val="00B27649"/>
    <w:rsid w:val="00B35832"/>
    <w:rsid w:val="00B36186"/>
    <w:rsid w:val="00B468A0"/>
    <w:rsid w:val="00B46F1A"/>
    <w:rsid w:val="00B519FB"/>
    <w:rsid w:val="00B51C07"/>
    <w:rsid w:val="00B61B37"/>
    <w:rsid w:val="00B652A4"/>
    <w:rsid w:val="00B66EA6"/>
    <w:rsid w:val="00B66F6D"/>
    <w:rsid w:val="00B7561D"/>
    <w:rsid w:val="00B93572"/>
    <w:rsid w:val="00BA0FCC"/>
    <w:rsid w:val="00BA1C41"/>
    <w:rsid w:val="00BA79BA"/>
    <w:rsid w:val="00BB1561"/>
    <w:rsid w:val="00BB4DAF"/>
    <w:rsid w:val="00BD0271"/>
    <w:rsid w:val="00BD538D"/>
    <w:rsid w:val="00BF27A3"/>
    <w:rsid w:val="00BF64FD"/>
    <w:rsid w:val="00BF6B51"/>
    <w:rsid w:val="00C072D5"/>
    <w:rsid w:val="00C11E5C"/>
    <w:rsid w:val="00C14299"/>
    <w:rsid w:val="00C2689E"/>
    <w:rsid w:val="00C2711D"/>
    <w:rsid w:val="00C3015F"/>
    <w:rsid w:val="00C34EB6"/>
    <w:rsid w:val="00C35BB7"/>
    <w:rsid w:val="00C36FA0"/>
    <w:rsid w:val="00C40A1C"/>
    <w:rsid w:val="00C4241B"/>
    <w:rsid w:val="00C42888"/>
    <w:rsid w:val="00C57C5B"/>
    <w:rsid w:val="00C6101C"/>
    <w:rsid w:val="00C64A57"/>
    <w:rsid w:val="00C64CFD"/>
    <w:rsid w:val="00C801E2"/>
    <w:rsid w:val="00C806FB"/>
    <w:rsid w:val="00C873D4"/>
    <w:rsid w:val="00C92755"/>
    <w:rsid w:val="00C94031"/>
    <w:rsid w:val="00CA0494"/>
    <w:rsid w:val="00CA08B2"/>
    <w:rsid w:val="00CA52D7"/>
    <w:rsid w:val="00CB1AE7"/>
    <w:rsid w:val="00CB6097"/>
    <w:rsid w:val="00CC1F9D"/>
    <w:rsid w:val="00CC2055"/>
    <w:rsid w:val="00CC66BB"/>
    <w:rsid w:val="00CE38CD"/>
    <w:rsid w:val="00CF3616"/>
    <w:rsid w:val="00CF5ED4"/>
    <w:rsid w:val="00CF7662"/>
    <w:rsid w:val="00CF8FF4"/>
    <w:rsid w:val="00D01CC2"/>
    <w:rsid w:val="00D0336A"/>
    <w:rsid w:val="00D13156"/>
    <w:rsid w:val="00D14E04"/>
    <w:rsid w:val="00D23EC9"/>
    <w:rsid w:val="00D30B31"/>
    <w:rsid w:val="00D3337E"/>
    <w:rsid w:val="00D460D9"/>
    <w:rsid w:val="00D46984"/>
    <w:rsid w:val="00D511B8"/>
    <w:rsid w:val="00D56ABE"/>
    <w:rsid w:val="00D56DA8"/>
    <w:rsid w:val="00D60E37"/>
    <w:rsid w:val="00D670D3"/>
    <w:rsid w:val="00D7145D"/>
    <w:rsid w:val="00D7179A"/>
    <w:rsid w:val="00D7480E"/>
    <w:rsid w:val="00D77890"/>
    <w:rsid w:val="00D87443"/>
    <w:rsid w:val="00D909CF"/>
    <w:rsid w:val="00D93F1E"/>
    <w:rsid w:val="00D97E0F"/>
    <w:rsid w:val="00DA1DDA"/>
    <w:rsid w:val="00DB2E1B"/>
    <w:rsid w:val="00DC01B3"/>
    <w:rsid w:val="00DC4D18"/>
    <w:rsid w:val="00DD1BC5"/>
    <w:rsid w:val="00DE061C"/>
    <w:rsid w:val="00DE5FB6"/>
    <w:rsid w:val="00DF1BB7"/>
    <w:rsid w:val="00DF476F"/>
    <w:rsid w:val="00DF78D7"/>
    <w:rsid w:val="00E0637B"/>
    <w:rsid w:val="00E06EA0"/>
    <w:rsid w:val="00E12B61"/>
    <w:rsid w:val="00E1319D"/>
    <w:rsid w:val="00E14EEF"/>
    <w:rsid w:val="00E15811"/>
    <w:rsid w:val="00E2157E"/>
    <w:rsid w:val="00E308A6"/>
    <w:rsid w:val="00E31578"/>
    <w:rsid w:val="00E421E1"/>
    <w:rsid w:val="00E44030"/>
    <w:rsid w:val="00E53BEB"/>
    <w:rsid w:val="00E55D06"/>
    <w:rsid w:val="00E60DEF"/>
    <w:rsid w:val="00E642E0"/>
    <w:rsid w:val="00E654A0"/>
    <w:rsid w:val="00E67342"/>
    <w:rsid w:val="00E732A6"/>
    <w:rsid w:val="00E7349A"/>
    <w:rsid w:val="00E839A6"/>
    <w:rsid w:val="00E857A0"/>
    <w:rsid w:val="00E93582"/>
    <w:rsid w:val="00EB7562"/>
    <w:rsid w:val="00EC56C7"/>
    <w:rsid w:val="00EC6D93"/>
    <w:rsid w:val="00ED0C60"/>
    <w:rsid w:val="00ED709E"/>
    <w:rsid w:val="00ED720D"/>
    <w:rsid w:val="00EF3A78"/>
    <w:rsid w:val="00EF76E4"/>
    <w:rsid w:val="00F00A7F"/>
    <w:rsid w:val="00F04A00"/>
    <w:rsid w:val="00F05432"/>
    <w:rsid w:val="00F13682"/>
    <w:rsid w:val="00F1705B"/>
    <w:rsid w:val="00F211E1"/>
    <w:rsid w:val="00F21B53"/>
    <w:rsid w:val="00F27C50"/>
    <w:rsid w:val="00F301EB"/>
    <w:rsid w:val="00F34E85"/>
    <w:rsid w:val="00F37989"/>
    <w:rsid w:val="00F37CC3"/>
    <w:rsid w:val="00F4071B"/>
    <w:rsid w:val="00F502B1"/>
    <w:rsid w:val="00F5368D"/>
    <w:rsid w:val="00F557B8"/>
    <w:rsid w:val="00F55D1F"/>
    <w:rsid w:val="00F57AB6"/>
    <w:rsid w:val="00F6250D"/>
    <w:rsid w:val="00F6763F"/>
    <w:rsid w:val="00F706D1"/>
    <w:rsid w:val="00F72290"/>
    <w:rsid w:val="00F81216"/>
    <w:rsid w:val="00F841EC"/>
    <w:rsid w:val="00F93398"/>
    <w:rsid w:val="00FA299C"/>
    <w:rsid w:val="00FA5192"/>
    <w:rsid w:val="00FB2DAA"/>
    <w:rsid w:val="00FC707B"/>
    <w:rsid w:val="00FD2B9E"/>
    <w:rsid w:val="00FD38F0"/>
    <w:rsid w:val="0101C92C"/>
    <w:rsid w:val="02160B4E"/>
    <w:rsid w:val="0240E9F3"/>
    <w:rsid w:val="04931FD8"/>
    <w:rsid w:val="049A2252"/>
    <w:rsid w:val="04D5CBA5"/>
    <w:rsid w:val="050B0AB1"/>
    <w:rsid w:val="05338D4B"/>
    <w:rsid w:val="05C9A424"/>
    <w:rsid w:val="06026EBF"/>
    <w:rsid w:val="07CE0D47"/>
    <w:rsid w:val="0A05D89D"/>
    <w:rsid w:val="0A1DAA14"/>
    <w:rsid w:val="0BEF46B5"/>
    <w:rsid w:val="0CF0C7D4"/>
    <w:rsid w:val="0D0A84EC"/>
    <w:rsid w:val="0E88213B"/>
    <w:rsid w:val="10EE90B5"/>
    <w:rsid w:val="11D0D26C"/>
    <w:rsid w:val="121275D3"/>
    <w:rsid w:val="13B90C57"/>
    <w:rsid w:val="13D4336D"/>
    <w:rsid w:val="14BCB8AF"/>
    <w:rsid w:val="15E06339"/>
    <w:rsid w:val="177C41FF"/>
    <w:rsid w:val="1A7E9EA5"/>
    <w:rsid w:val="1B5CB5BC"/>
    <w:rsid w:val="1CAADA1C"/>
    <w:rsid w:val="1D2A9F07"/>
    <w:rsid w:val="1D91F8B9"/>
    <w:rsid w:val="1DB8A075"/>
    <w:rsid w:val="1DE2F794"/>
    <w:rsid w:val="1E5F3123"/>
    <w:rsid w:val="1E627BB5"/>
    <w:rsid w:val="1FEAB9DA"/>
    <w:rsid w:val="206FFB0B"/>
    <w:rsid w:val="20C5DD33"/>
    <w:rsid w:val="22069B47"/>
    <w:rsid w:val="227AD47F"/>
    <w:rsid w:val="230BD3C0"/>
    <w:rsid w:val="23F0802D"/>
    <w:rsid w:val="25027DAB"/>
    <w:rsid w:val="26032557"/>
    <w:rsid w:val="27CBCB59"/>
    <w:rsid w:val="2861ACDF"/>
    <w:rsid w:val="289BDAA1"/>
    <w:rsid w:val="2968546B"/>
    <w:rsid w:val="297C96BF"/>
    <w:rsid w:val="2C14A6B6"/>
    <w:rsid w:val="2C488725"/>
    <w:rsid w:val="2D51F975"/>
    <w:rsid w:val="2E7E499A"/>
    <w:rsid w:val="2E8D2691"/>
    <w:rsid w:val="2F41BF34"/>
    <w:rsid w:val="31D62BEA"/>
    <w:rsid w:val="34DA18C8"/>
    <w:rsid w:val="3526EB83"/>
    <w:rsid w:val="3561BD5C"/>
    <w:rsid w:val="367C4E7F"/>
    <w:rsid w:val="3827D1DB"/>
    <w:rsid w:val="394CB052"/>
    <w:rsid w:val="39666353"/>
    <w:rsid w:val="3BC366A6"/>
    <w:rsid w:val="3C0F7700"/>
    <w:rsid w:val="3E4BB3B2"/>
    <w:rsid w:val="3E4E5F8F"/>
    <w:rsid w:val="3F130790"/>
    <w:rsid w:val="3F640BCF"/>
    <w:rsid w:val="3FBC4BAC"/>
    <w:rsid w:val="40A81AC3"/>
    <w:rsid w:val="40F4556F"/>
    <w:rsid w:val="413D19BC"/>
    <w:rsid w:val="41BDD1D4"/>
    <w:rsid w:val="42890792"/>
    <w:rsid w:val="440D5A3D"/>
    <w:rsid w:val="443F064D"/>
    <w:rsid w:val="45A609BC"/>
    <w:rsid w:val="464BF067"/>
    <w:rsid w:val="46934D86"/>
    <w:rsid w:val="47078DF6"/>
    <w:rsid w:val="47B46EB2"/>
    <w:rsid w:val="4833533A"/>
    <w:rsid w:val="48355F7A"/>
    <w:rsid w:val="4AD4F30E"/>
    <w:rsid w:val="4B3120EB"/>
    <w:rsid w:val="4C11F53B"/>
    <w:rsid w:val="4DF65647"/>
    <w:rsid w:val="4F4D5991"/>
    <w:rsid w:val="4FC38448"/>
    <w:rsid w:val="4FDC796F"/>
    <w:rsid w:val="5087FE3A"/>
    <w:rsid w:val="527869E5"/>
    <w:rsid w:val="53FBA1C6"/>
    <w:rsid w:val="54923754"/>
    <w:rsid w:val="54ED6330"/>
    <w:rsid w:val="55960B04"/>
    <w:rsid w:val="55F82FDE"/>
    <w:rsid w:val="56DE61F4"/>
    <w:rsid w:val="570E9880"/>
    <w:rsid w:val="5712E1EB"/>
    <w:rsid w:val="5717CA26"/>
    <w:rsid w:val="58A04ACC"/>
    <w:rsid w:val="592C67EC"/>
    <w:rsid w:val="5A81A492"/>
    <w:rsid w:val="5AD457D5"/>
    <w:rsid w:val="5B4D2A0B"/>
    <w:rsid w:val="5B5BDB66"/>
    <w:rsid w:val="5B5C1EC1"/>
    <w:rsid w:val="5D2A3FED"/>
    <w:rsid w:val="5D3E2DE4"/>
    <w:rsid w:val="5DA83085"/>
    <w:rsid w:val="5E3E31E9"/>
    <w:rsid w:val="5EC59A8F"/>
    <w:rsid w:val="5F863065"/>
    <w:rsid w:val="5F976452"/>
    <w:rsid w:val="60AACEB1"/>
    <w:rsid w:val="61772985"/>
    <w:rsid w:val="61B577CC"/>
    <w:rsid w:val="621761A8"/>
    <w:rsid w:val="6246AD3E"/>
    <w:rsid w:val="62A27C29"/>
    <w:rsid w:val="63AA8818"/>
    <w:rsid w:val="63FB6635"/>
    <w:rsid w:val="64881F01"/>
    <w:rsid w:val="6628CB5C"/>
    <w:rsid w:val="66A88E35"/>
    <w:rsid w:val="66F01A3E"/>
    <w:rsid w:val="6750CDA9"/>
    <w:rsid w:val="67B80BA5"/>
    <w:rsid w:val="68166112"/>
    <w:rsid w:val="6AD4645E"/>
    <w:rsid w:val="714130E4"/>
    <w:rsid w:val="71A462E9"/>
    <w:rsid w:val="722EC25A"/>
    <w:rsid w:val="73E7D88B"/>
    <w:rsid w:val="73F5890C"/>
    <w:rsid w:val="741DCF03"/>
    <w:rsid w:val="74C4C8F4"/>
    <w:rsid w:val="74CD1416"/>
    <w:rsid w:val="76AC5B04"/>
    <w:rsid w:val="770A16F6"/>
    <w:rsid w:val="77D0EF4F"/>
    <w:rsid w:val="78611B92"/>
    <w:rsid w:val="78FE7B30"/>
    <w:rsid w:val="7ADCF833"/>
    <w:rsid w:val="7B062B66"/>
    <w:rsid w:val="7B313F73"/>
    <w:rsid w:val="7BC699DF"/>
    <w:rsid w:val="7C662DCF"/>
    <w:rsid w:val="7CCC98F3"/>
    <w:rsid w:val="7CD44D6E"/>
    <w:rsid w:val="7D682756"/>
    <w:rsid w:val="7E9ECF3B"/>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5004947"/>
  <w15:docId w15:val="{65D6BAC4-16C2-43B2-BE41-8E8CE49F7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NRC"/>
    <w:qFormat/>
    <w:rsid w:val="00D87443"/>
    <w:rPr>
      <w:color w:val="464645" w:themeColor="text1"/>
      <w:sz w:val="20"/>
      <w:lang w:val="en-GB"/>
    </w:rPr>
  </w:style>
  <w:style w:type="paragraph" w:styleId="Heading1">
    <w:name w:val="heading 1"/>
    <w:aliases w:val="Heading 1 NRC"/>
    <w:basedOn w:val="Normal"/>
    <w:next w:val="Normal"/>
    <w:link w:val="Heading1Char"/>
    <w:uiPriority w:val="9"/>
    <w:qFormat/>
    <w:rsid w:val="00CC1F9D"/>
    <w:pPr>
      <w:keepNext/>
      <w:keepLines/>
      <w:numPr>
        <w:numId w:val="4"/>
      </w:numPr>
      <w:spacing w:before="480" w:after="480"/>
      <w:ind w:left="357" w:hanging="357"/>
      <w:outlineLvl w:val="0"/>
    </w:pPr>
    <w:rPr>
      <w:rFonts w:asciiTheme="majorHAnsi" w:eastAsiaTheme="majorEastAsia" w:hAnsiTheme="majorHAnsi" w:cstheme="majorBidi"/>
      <w:color w:val="FF7602" w:themeColor="accent1"/>
      <w:sz w:val="36"/>
      <w:szCs w:val="32"/>
    </w:rPr>
  </w:style>
  <w:style w:type="paragraph" w:styleId="Heading2">
    <w:name w:val="heading 2"/>
    <w:aliases w:val="Heading 2 NRC"/>
    <w:basedOn w:val="Normal"/>
    <w:next w:val="Normal"/>
    <w:link w:val="Heading2Char"/>
    <w:unhideWhenUsed/>
    <w:qFormat/>
    <w:rsid w:val="00D7179A"/>
    <w:pPr>
      <w:keepNext/>
      <w:keepLines/>
      <w:numPr>
        <w:ilvl w:val="1"/>
        <w:numId w:val="4"/>
      </w:numPr>
      <w:spacing w:before="400" w:after="200"/>
      <w:ind w:left="737" w:hanging="737"/>
      <w:outlineLvl w:val="1"/>
    </w:pPr>
    <w:rPr>
      <w:rFonts w:asciiTheme="majorHAnsi" w:eastAsiaTheme="majorEastAsia" w:hAnsiTheme="majorHAnsi" w:cstheme="majorBidi"/>
      <w:color w:val="A6A6A5" w:themeColor="text2"/>
      <w:sz w:val="32"/>
      <w:szCs w:val="26"/>
    </w:rPr>
  </w:style>
  <w:style w:type="paragraph" w:styleId="Heading3">
    <w:name w:val="heading 3"/>
    <w:aliases w:val="Heading 3 NRC"/>
    <w:basedOn w:val="Normal"/>
    <w:next w:val="Normal"/>
    <w:link w:val="Heading3Char"/>
    <w:unhideWhenUsed/>
    <w:qFormat/>
    <w:rsid w:val="00313FE6"/>
    <w:pPr>
      <w:keepNext/>
      <w:keepLines/>
      <w:spacing w:before="200" w:after="40"/>
      <w:outlineLvl w:val="2"/>
    </w:pPr>
    <w:rPr>
      <w:rFonts w:ascii="Franklin Gothic Medium" w:eastAsiaTheme="majorEastAsia" w:hAnsi="Franklin Gothic Medium" w:cstheme="majorBidi"/>
      <w:szCs w:val="24"/>
    </w:rPr>
  </w:style>
  <w:style w:type="paragraph" w:styleId="Heading4">
    <w:name w:val="heading 4"/>
    <w:aliases w:val="Heading 4 NRC"/>
    <w:basedOn w:val="Normal"/>
    <w:next w:val="Normal"/>
    <w:link w:val="Heading4Char"/>
    <w:uiPriority w:val="9"/>
    <w:unhideWhenUsed/>
    <w:qFormat/>
    <w:rsid w:val="0062174F"/>
    <w:pPr>
      <w:keepNext/>
      <w:keepLines/>
      <w:spacing w:before="200" w:after="40"/>
      <w:outlineLvl w:val="3"/>
    </w:pPr>
    <w:rPr>
      <w:rFonts w:ascii="Franklin Gothic Medium" w:eastAsiaTheme="majorEastAsia" w:hAnsi="Franklin Gothic Medium"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NRC Char"/>
    <w:basedOn w:val="DefaultParagraphFont"/>
    <w:link w:val="Heading1"/>
    <w:uiPriority w:val="9"/>
    <w:rsid w:val="00CC1F9D"/>
    <w:rPr>
      <w:rFonts w:asciiTheme="majorHAnsi" w:eastAsiaTheme="majorEastAsia" w:hAnsiTheme="majorHAnsi" w:cstheme="majorBidi"/>
      <w:color w:val="FF7602" w:themeColor="accent1"/>
      <w:sz w:val="36"/>
      <w:szCs w:val="32"/>
      <w:lang w:val="en-GB"/>
    </w:rPr>
  </w:style>
  <w:style w:type="character" w:customStyle="1" w:styleId="Heading2Char">
    <w:name w:val="Heading 2 Char"/>
    <w:aliases w:val="Heading 2 NRC Char"/>
    <w:basedOn w:val="DefaultParagraphFont"/>
    <w:link w:val="Heading2"/>
    <w:rsid w:val="00D7179A"/>
    <w:rPr>
      <w:rFonts w:asciiTheme="majorHAnsi" w:eastAsiaTheme="majorEastAsia" w:hAnsiTheme="majorHAnsi" w:cstheme="majorBidi"/>
      <w:color w:val="A6A6A5" w:themeColor="text2"/>
      <w:sz w:val="32"/>
      <w:szCs w:val="26"/>
      <w:lang w:val="en-GB"/>
    </w:rPr>
  </w:style>
  <w:style w:type="character" w:customStyle="1" w:styleId="Heading3Char">
    <w:name w:val="Heading 3 Char"/>
    <w:aliases w:val="Heading 3 NRC Char"/>
    <w:basedOn w:val="DefaultParagraphFont"/>
    <w:link w:val="Heading3"/>
    <w:rsid w:val="00313FE6"/>
    <w:rPr>
      <w:rFonts w:ascii="Franklin Gothic Medium" w:eastAsiaTheme="majorEastAsia" w:hAnsi="Franklin Gothic Medium" w:cstheme="majorBidi"/>
      <w:color w:val="464645" w:themeColor="text1"/>
      <w:sz w:val="20"/>
      <w:szCs w:val="24"/>
      <w:lang w:val="en-GB"/>
    </w:rPr>
  </w:style>
  <w:style w:type="character" w:customStyle="1" w:styleId="Heading4Char">
    <w:name w:val="Heading 4 Char"/>
    <w:aliases w:val="Heading 4 NRC Char"/>
    <w:basedOn w:val="DefaultParagraphFont"/>
    <w:link w:val="Heading4"/>
    <w:uiPriority w:val="9"/>
    <w:rsid w:val="0062174F"/>
    <w:rPr>
      <w:rFonts w:ascii="Franklin Gothic Medium" w:eastAsiaTheme="majorEastAsia" w:hAnsi="Franklin Gothic Medium" w:cstheme="majorBidi"/>
      <w:iCs/>
      <w:color w:val="464645" w:themeColor="text1"/>
      <w:sz w:val="20"/>
      <w:lang w:val="en-GB"/>
    </w:rPr>
  </w:style>
  <w:style w:type="paragraph" w:customStyle="1" w:styleId="IngressNRC">
    <w:name w:val="Ingress NRC"/>
    <w:basedOn w:val="Normal"/>
    <w:qFormat/>
    <w:rsid w:val="007B7F17"/>
    <w:pPr>
      <w:spacing w:after="960"/>
    </w:pPr>
    <w:rPr>
      <w:sz w:val="24"/>
    </w:rPr>
  </w:style>
  <w:style w:type="paragraph" w:styleId="ListBullet">
    <w:name w:val="List Bullet"/>
    <w:aliases w:val="Bullet list NRC"/>
    <w:basedOn w:val="Normal"/>
    <w:uiPriority w:val="99"/>
    <w:qFormat/>
    <w:rsid w:val="00A90369"/>
    <w:pPr>
      <w:numPr>
        <w:numId w:val="2"/>
      </w:numPr>
      <w:spacing w:after="80"/>
      <w:ind w:left="340" w:hanging="340"/>
    </w:pPr>
  </w:style>
  <w:style w:type="paragraph" w:styleId="ListParagraph">
    <w:name w:val="List Paragraph"/>
    <w:aliases w:val="List NRC"/>
    <w:basedOn w:val="Normal"/>
    <w:uiPriority w:val="34"/>
    <w:qFormat/>
    <w:rsid w:val="00912719"/>
    <w:pPr>
      <w:numPr>
        <w:numId w:val="3"/>
      </w:numPr>
      <w:spacing w:after="80"/>
    </w:pPr>
  </w:style>
  <w:style w:type="paragraph" w:styleId="Quote">
    <w:name w:val="Quote"/>
    <w:aliases w:val="Quote NRC"/>
    <w:basedOn w:val="Normal"/>
    <w:next w:val="Normal"/>
    <w:link w:val="QuoteChar"/>
    <w:uiPriority w:val="29"/>
    <w:qFormat/>
    <w:rsid w:val="00912719"/>
    <w:pPr>
      <w:spacing w:before="240" w:after="240"/>
    </w:pPr>
    <w:rPr>
      <w:rFonts w:ascii="Garamond" w:hAnsi="Garamond"/>
      <w:i/>
      <w:iCs/>
      <w:sz w:val="32"/>
    </w:rPr>
  </w:style>
  <w:style w:type="character" w:customStyle="1" w:styleId="QuoteChar">
    <w:name w:val="Quote Char"/>
    <w:aliases w:val="Quote NRC Char"/>
    <w:basedOn w:val="DefaultParagraphFont"/>
    <w:link w:val="Quote"/>
    <w:uiPriority w:val="29"/>
    <w:rsid w:val="00912719"/>
    <w:rPr>
      <w:rFonts w:ascii="Garamond" w:hAnsi="Garamond"/>
      <w:i/>
      <w:iCs/>
      <w:color w:val="464645" w:themeColor="text1"/>
      <w:sz w:val="32"/>
      <w:lang w:val="en-GB"/>
    </w:rPr>
  </w:style>
  <w:style w:type="paragraph" w:styleId="Header">
    <w:name w:val="header"/>
    <w:basedOn w:val="Normal"/>
    <w:link w:val="HeaderChar"/>
    <w:uiPriority w:val="99"/>
    <w:semiHidden/>
    <w:rsid w:val="0062174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F575E"/>
    <w:rPr>
      <w:color w:val="464645" w:themeColor="text1"/>
      <w:sz w:val="20"/>
      <w:lang w:val="en-GB"/>
    </w:rPr>
  </w:style>
  <w:style w:type="paragraph" w:styleId="Footer">
    <w:name w:val="footer"/>
    <w:basedOn w:val="Normal"/>
    <w:link w:val="FooterChar"/>
    <w:uiPriority w:val="99"/>
    <w:semiHidden/>
    <w:rsid w:val="009F049D"/>
    <w:pPr>
      <w:tabs>
        <w:tab w:val="right" w:pos="3827"/>
        <w:tab w:val="center" w:pos="4491"/>
        <w:tab w:val="left" w:pos="5160"/>
      </w:tabs>
      <w:spacing w:after="0" w:line="240" w:lineRule="auto"/>
      <w:jc w:val="center"/>
    </w:pPr>
    <w:rPr>
      <w:caps/>
      <w:sz w:val="18"/>
    </w:rPr>
  </w:style>
  <w:style w:type="character" w:customStyle="1" w:styleId="FooterChar">
    <w:name w:val="Footer Char"/>
    <w:basedOn w:val="DefaultParagraphFont"/>
    <w:link w:val="Footer"/>
    <w:uiPriority w:val="99"/>
    <w:semiHidden/>
    <w:rsid w:val="003F575E"/>
    <w:rPr>
      <w:caps/>
      <w:color w:val="464645" w:themeColor="text1"/>
      <w:sz w:val="18"/>
      <w:lang w:val="en-GB"/>
    </w:rPr>
  </w:style>
  <w:style w:type="table" w:styleId="TableGrid">
    <w:name w:val="Table Grid"/>
    <w:basedOn w:val="TableNormal"/>
    <w:uiPriority w:val="39"/>
    <w:rsid w:val="00912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RCTabelll">
    <w:name w:val="NRC Tabelll"/>
    <w:basedOn w:val="TableNormal"/>
    <w:uiPriority w:val="99"/>
    <w:rsid w:val="003162AD"/>
    <w:pPr>
      <w:spacing w:after="0" w:line="240" w:lineRule="auto"/>
      <w:jc w:val="center"/>
    </w:pPr>
    <w:rPr>
      <w:sz w:val="18"/>
    </w:rPr>
    <w:tblPr>
      <w:tblStyleRowBandSize w:val="1"/>
      <w:tblBorders>
        <w:top w:val="single" w:sz="2" w:space="0" w:color="464645" w:themeColor="text1"/>
        <w:bottom w:val="single" w:sz="2" w:space="0" w:color="464645" w:themeColor="text1"/>
      </w:tblBorders>
      <w:tblCellMar>
        <w:top w:w="57" w:type="dxa"/>
        <w:left w:w="0" w:type="dxa"/>
        <w:bottom w:w="57" w:type="dxa"/>
        <w:right w:w="57" w:type="dxa"/>
      </w:tblCellMar>
    </w:tblPr>
    <w:tcPr>
      <w:vAlign w:val="center"/>
    </w:tcPr>
    <w:tblStylePr w:type="firstRow">
      <w:rPr>
        <w:rFonts w:ascii="Garamond" w:hAnsi="Garamond"/>
        <w:sz w:val="18"/>
      </w:rPr>
      <w:tblPr/>
      <w:tcPr>
        <w:tcBorders>
          <w:top w:val="nil"/>
          <w:left w:val="nil"/>
          <w:bottom w:val="single" w:sz="4" w:space="0" w:color="464645" w:themeColor="text1"/>
          <w:right w:val="nil"/>
          <w:insideH w:val="nil"/>
          <w:insideV w:val="nil"/>
          <w:tl2br w:val="nil"/>
          <w:tr2bl w:val="nil"/>
        </w:tcBorders>
      </w:tcPr>
    </w:tblStylePr>
    <w:tblStylePr w:type="lastRow">
      <w:pPr>
        <w:jc w:val="left"/>
      </w:pPr>
      <w:rPr>
        <w:rFonts w:asciiTheme="minorHAnsi" w:hAnsiTheme="minorHAnsi"/>
        <w:sz w:val="16"/>
      </w:rPr>
      <w:tblPr/>
      <w:tcPr>
        <w:tcBorders>
          <w:top w:val="single" w:sz="4" w:space="0" w:color="464645" w:themeColor="text1"/>
          <w:left w:val="nil"/>
          <w:bottom w:val="nil"/>
          <w:right w:val="nil"/>
          <w:insideH w:val="nil"/>
          <w:insideV w:val="nil"/>
          <w:tl2br w:val="nil"/>
          <w:tr2bl w:val="nil"/>
        </w:tcBorders>
      </w:tcPr>
    </w:tblStylePr>
    <w:tblStylePr w:type="firstCol">
      <w:pPr>
        <w:jc w:val="left"/>
      </w:pPr>
      <w:rPr>
        <w:rFonts w:ascii="Garamond" w:hAnsi="Garamond"/>
        <w:sz w:val="18"/>
      </w:rPr>
    </w:tblStylePr>
    <w:tblStylePr w:type="band1Horz">
      <w:tblPr/>
      <w:tcPr>
        <w:tcBorders>
          <w:bottom w:val="single" w:sz="4" w:space="0" w:color="A6A6A5" w:themeColor="text2"/>
        </w:tcBorders>
      </w:tcPr>
    </w:tblStylePr>
    <w:tblStylePr w:type="band2Horz">
      <w:tblPr/>
      <w:tcPr>
        <w:tcBorders>
          <w:bottom w:val="single" w:sz="4" w:space="0" w:color="A6A6A5" w:themeColor="text2"/>
        </w:tcBorders>
      </w:tcPr>
    </w:tblStylePr>
  </w:style>
  <w:style w:type="paragraph" w:customStyle="1" w:styleId="TableheadingNRC">
    <w:name w:val="Tableheading NRC"/>
    <w:basedOn w:val="Heading4"/>
    <w:qFormat/>
    <w:rsid w:val="00A057B6"/>
    <w:rPr>
      <w:caps/>
    </w:rPr>
  </w:style>
  <w:style w:type="paragraph" w:styleId="Title">
    <w:name w:val="Title"/>
    <w:aliases w:val="Title NRC"/>
    <w:basedOn w:val="Normal"/>
    <w:link w:val="TitleChar"/>
    <w:uiPriority w:val="10"/>
    <w:qFormat/>
    <w:rsid w:val="008B7421"/>
    <w:pPr>
      <w:spacing w:before="240" w:after="240" w:line="216" w:lineRule="auto"/>
      <w:ind w:left="227" w:right="227"/>
      <w:contextualSpacing/>
    </w:pPr>
    <w:rPr>
      <w:rFonts w:ascii="Franklin Gothic Medium" w:eastAsiaTheme="majorEastAsia" w:hAnsi="Franklin Gothic Medium" w:cstheme="majorBidi"/>
      <w:color w:val="FF7602" w:themeColor="accent1"/>
      <w:kern w:val="28"/>
      <w:sz w:val="72"/>
      <w:szCs w:val="56"/>
    </w:rPr>
  </w:style>
  <w:style w:type="character" w:customStyle="1" w:styleId="TitleChar">
    <w:name w:val="Title Char"/>
    <w:aliases w:val="Title NRC Char"/>
    <w:basedOn w:val="DefaultParagraphFont"/>
    <w:link w:val="Title"/>
    <w:uiPriority w:val="10"/>
    <w:rsid w:val="008B7421"/>
    <w:rPr>
      <w:rFonts w:ascii="Franklin Gothic Medium" w:eastAsiaTheme="majorEastAsia" w:hAnsi="Franklin Gothic Medium" w:cstheme="majorBidi"/>
      <w:color w:val="FF7602" w:themeColor="accent1"/>
      <w:kern w:val="28"/>
      <w:sz w:val="72"/>
      <w:szCs w:val="56"/>
      <w:lang w:val="en-GB"/>
    </w:rPr>
  </w:style>
  <w:style w:type="paragraph" w:styleId="Subtitle">
    <w:name w:val="Subtitle"/>
    <w:aliases w:val="Subtitle NRC"/>
    <w:basedOn w:val="Normal"/>
    <w:next w:val="Normal"/>
    <w:link w:val="SubtitleChar"/>
    <w:uiPriority w:val="11"/>
    <w:qFormat/>
    <w:rsid w:val="00F211E1"/>
    <w:pPr>
      <w:numPr>
        <w:ilvl w:val="1"/>
      </w:numPr>
      <w:spacing w:before="240" w:after="0"/>
    </w:pPr>
    <w:rPr>
      <w:rFonts w:eastAsiaTheme="minorEastAsia"/>
      <w:sz w:val="24"/>
    </w:rPr>
  </w:style>
  <w:style w:type="character" w:customStyle="1" w:styleId="SubtitleChar">
    <w:name w:val="Subtitle Char"/>
    <w:aliases w:val="Subtitle NRC Char"/>
    <w:basedOn w:val="DefaultParagraphFont"/>
    <w:link w:val="Subtitle"/>
    <w:uiPriority w:val="11"/>
    <w:rsid w:val="00F211E1"/>
    <w:rPr>
      <w:rFonts w:eastAsiaTheme="minorEastAsia"/>
      <w:color w:val="464645" w:themeColor="text1"/>
      <w:sz w:val="24"/>
      <w:lang w:val="en-GB"/>
    </w:rPr>
  </w:style>
  <w:style w:type="character" w:styleId="PlaceholderText">
    <w:name w:val="Placeholder Text"/>
    <w:basedOn w:val="DefaultParagraphFont"/>
    <w:uiPriority w:val="99"/>
    <w:semiHidden/>
    <w:rsid w:val="00091EBF"/>
    <w:rPr>
      <w:color w:val="808080"/>
    </w:rPr>
  </w:style>
  <w:style w:type="paragraph" w:customStyle="1" w:styleId="FrontpagetextNRC">
    <w:name w:val="Frontpagetext NRC"/>
    <w:basedOn w:val="Normal"/>
    <w:qFormat/>
    <w:rsid w:val="00F211E1"/>
    <w:pPr>
      <w:framePr w:hSpace="142" w:wrap="around" w:vAnchor="page" w:hAnchor="margin" w:y="10859"/>
      <w:spacing w:before="240" w:after="0" w:line="240" w:lineRule="auto"/>
      <w:suppressOverlap/>
    </w:pPr>
    <w:rPr>
      <w:rFonts w:ascii="Franklin Gothic Medium" w:hAnsi="Franklin Gothic Medium"/>
      <w:caps/>
      <w:color w:val="FF7602" w:themeColor="accent1"/>
      <w:sz w:val="18"/>
      <w:lang w:val="nb-NO"/>
    </w:rPr>
  </w:style>
  <w:style w:type="paragraph" w:styleId="TOC2">
    <w:name w:val="toc 2"/>
    <w:basedOn w:val="Normal"/>
    <w:next w:val="Normal"/>
    <w:autoRedefine/>
    <w:uiPriority w:val="39"/>
    <w:semiHidden/>
    <w:rsid w:val="00D87443"/>
    <w:pPr>
      <w:tabs>
        <w:tab w:val="right" w:pos="7926"/>
      </w:tabs>
      <w:spacing w:after="0"/>
      <w:ind w:left="924" w:hanging="567"/>
      <w:contextualSpacing/>
    </w:pPr>
  </w:style>
  <w:style w:type="paragraph" w:styleId="TOC1">
    <w:name w:val="toc 1"/>
    <w:basedOn w:val="Normal"/>
    <w:next w:val="Normal"/>
    <w:autoRedefine/>
    <w:uiPriority w:val="39"/>
    <w:semiHidden/>
    <w:rsid w:val="00D87443"/>
    <w:pPr>
      <w:tabs>
        <w:tab w:val="right" w:pos="7926"/>
      </w:tabs>
      <w:spacing w:before="160" w:after="80"/>
      <w:ind w:left="357" w:hanging="357"/>
    </w:pPr>
  </w:style>
  <w:style w:type="paragraph" w:styleId="TOC3">
    <w:name w:val="toc 3"/>
    <w:basedOn w:val="Normal"/>
    <w:next w:val="Normal"/>
    <w:autoRedefine/>
    <w:uiPriority w:val="39"/>
    <w:semiHidden/>
    <w:rsid w:val="00CB6097"/>
    <w:pPr>
      <w:tabs>
        <w:tab w:val="left" w:pos="1320"/>
        <w:tab w:val="right" w:pos="7926"/>
      </w:tabs>
      <w:spacing w:after="0"/>
      <w:ind w:left="1474" w:hanging="567"/>
      <w:contextualSpacing/>
    </w:pPr>
  </w:style>
  <w:style w:type="character" w:styleId="Hyperlink">
    <w:name w:val="Hyperlink"/>
    <w:basedOn w:val="DefaultParagraphFont"/>
    <w:uiPriority w:val="99"/>
    <w:rsid w:val="004B5714"/>
    <w:rPr>
      <w:color w:val="0563C1" w:themeColor="hyperlink"/>
      <w:u w:val="single"/>
    </w:rPr>
  </w:style>
  <w:style w:type="table" w:customStyle="1" w:styleId="ForsideTabell">
    <w:name w:val="ForsideTabell"/>
    <w:basedOn w:val="TableNormal"/>
    <w:uiPriority w:val="99"/>
    <w:rsid w:val="00E14EEF"/>
    <w:pPr>
      <w:spacing w:after="0" w:line="240" w:lineRule="auto"/>
    </w:pPr>
    <w:tblPr>
      <w:tblCellMar>
        <w:left w:w="0" w:type="dxa"/>
        <w:right w:w="0" w:type="dxa"/>
      </w:tblCellMar>
    </w:tblPr>
  </w:style>
  <w:style w:type="paragraph" w:styleId="FootnoteText">
    <w:name w:val="footnote text"/>
    <w:aliases w:val="Footnote text NRC"/>
    <w:basedOn w:val="Normal"/>
    <w:link w:val="FootnoteTextChar"/>
    <w:uiPriority w:val="99"/>
    <w:qFormat/>
    <w:rsid w:val="00FC707B"/>
    <w:pPr>
      <w:spacing w:after="0" w:line="240" w:lineRule="auto"/>
    </w:pPr>
    <w:rPr>
      <w:sz w:val="16"/>
      <w:szCs w:val="20"/>
    </w:rPr>
  </w:style>
  <w:style w:type="character" w:customStyle="1" w:styleId="FootnoteTextChar">
    <w:name w:val="Footnote Text Char"/>
    <w:aliases w:val="Footnote text NRC Char"/>
    <w:basedOn w:val="DefaultParagraphFont"/>
    <w:link w:val="FootnoteText"/>
    <w:uiPriority w:val="99"/>
    <w:rsid w:val="00FC707B"/>
    <w:rPr>
      <w:color w:val="464645" w:themeColor="text1"/>
      <w:sz w:val="16"/>
      <w:szCs w:val="20"/>
      <w:lang w:val="en-GB"/>
    </w:rPr>
  </w:style>
  <w:style w:type="character" w:styleId="FootnoteReference">
    <w:name w:val="footnote reference"/>
    <w:aliases w:val="ftref,16 Point,Superscript 6 Point,Знак сноски-FN,Footnote Reference Superscript,Footnote symbol,???? ??????-FN,Footnote Reference Number,Footnote Reference_LVL6,Footnote Reference_LVL61,Footnote Reference_LVL62,fr,BVI fnr"/>
    <w:basedOn w:val="DefaultParagraphFont"/>
    <w:link w:val="Footnotesrefss"/>
    <w:uiPriority w:val="99"/>
    <w:unhideWhenUsed/>
    <w:qFormat/>
    <w:rsid w:val="00FC707B"/>
    <w:rPr>
      <w:vertAlign w:val="superscript"/>
    </w:rPr>
  </w:style>
  <w:style w:type="table" w:customStyle="1" w:styleId="Forsidestil">
    <w:name w:val="Forsidestil"/>
    <w:basedOn w:val="TableNormal"/>
    <w:uiPriority w:val="99"/>
    <w:rsid w:val="003637EE"/>
    <w:pPr>
      <w:spacing w:after="0" w:line="240" w:lineRule="auto"/>
    </w:pPr>
    <w:tblPr>
      <w:tblCellMar>
        <w:left w:w="0" w:type="dxa"/>
        <w:right w:w="0" w:type="dxa"/>
      </w:tblCellMar>
    </w:tblPr>
    <w:tcPr>
      <w:vAlign w:val="bottom"/>
    </w:tcPr>
    <w:tblStylePr w:type="firstRow">
      <w:tblPr/>
      <w:tcPr>
        <w:shd w:val="clear" w:color="auto" w:fill="464645" w:themeFill="text1"/>
      </w:tcPr>
    </w:tblStylePr>
  </w:style>
  <w:style w:type="paragraph" w:styleId="Caption">
    <w:name w:val="caption"/>
    <w:aliases w:val="Caption NRC"/>
    <w:basedOn w:val="Normal"/>
    <w:next w:val="Normal"/>
    <w:uiPriority w:val="35"/>
    <w:qFormat/>
    <w:rsid w:val="001B6690"/>
    <w:pPr>
      <w:spacing w:after="200" w:line="240" w:lineRule="auto"/>
    </w:pPr>
    <w:rPr>
      <w:i/>
      <w:iCs/>
      <w:sz w:val="16"/>
      <w:szCs w:val="18"/>
    </w:rPr>
  </w:style>
  <w:style w:type="character" w:styleId="Strong">
    <w:name w:val="Strong"/>
    <w:aliases w:val="Strong NRC"/>
    <w:basedOn w:val="DefaultParagraphFont"/>
    <w:uiPriority w:val="22"/>
    <w:qFormat/>
    <w:rsid w:val="00B14103"/>
    <w:rPr>
      <w:rFonts w:ascii="Franklin Gothic Medium" w:hAnsi="Franklin Gothic Medium"/>
      <w:b w:val="0"/>
      <w:bCs/>
    </w:rPr>
  </w:style>
  <w:style w:type="paragraph" w:customStyle="1" w:styleId="Tableheading">
    <w:name w:val="Tableheading"/>
    <w:basedOn w:val="Heading4"/>
    <w:semiHidden/>
    <w:rsid w:val="007F0D7F"/>
    <w:rPr>
      <w:caps/>
    </w:rPr>
  </w:style>
  <w:style w:type="paragraph" w:styleId="BalloonText">
    <w:name w:val="Balloon Text"/>
    <w:basedOn w:val="Normal"/>
    <w:link w:val="BalloonTextChar"/>
    <w:uiPriority w:val="99"/>
    <w:semiHidden/>
    <w:unhideWhenUsed/>
    <w:rsid w:val="00A42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73A"/>
    <w:rPr>
      <w:rFonts w:ascii="Tahoma" w:hAnsi="Tahoma" w:cs="Tahoma"/>
      <w:color w:val="464645" w:themeColor="text1"/>
      <w:sz w:val="16"/>
      <w:szCs w:val="16"/>
      <w:lang w:val="en-GB"/>
    </w:rPr>
  </w:style>
  <w:style w:type="paragraph" w:styleId="NormalWeb">
    <w:name w:val="Normal (Web)"/>
    <w:basedOn w:val="Normal"/>
    <w:uiPriority w:val="99"/>
    <w:semiHidden/>
    <w:unhideWhenUsed/>
    <w:rsid w:val="00520F6C"/>
    <w:pPr>
      <w:spacing w:before="100" w:beforeAutospacing="1" w:after="100" w:afterAutospacing="1" w:line="240" w:lineRule="auto"/>
    </w:pPr>
    <w:rPr>
      <w:rFonts w:ascii="Times" w:hAnsi="Times" w:cs="Times New Roman"/>
      <w:color w:val="auto"/>
      <w:szCs w:val="20"/>
      <w:lang w:val="en-US" w:eastAsia="nb-NO"/>
    </w:rPr>
  </w:style>
  <w:style w:type="character" w:customStyle="1" w:styleId="apple-converted-space">
    <w:name w:val="apple-converted-space"/>
    <w:basedOn w:val="DefaultParagraphFont"/>
    <w:rsid w:val="00520F6C"/>
  </w:style>
  <w:style w:type="paragraph" w:styleId="CommentText">
    <w:name w:val="annotation text"/>
    <w:basedOn w:val="Normal"/>
    <w:link w:val="CommentTextChar"/>
    <w:uiPriority w:val="99"/>
    <w:rsid w:val="000D7090"/>
    <w:pPr>
      <w:keepLines/>
      <w:widowControl w:val="0"/>
      <w:spacing w:after="0" w:line="240" w:lineRule="auto"/>
    </w:pPr>
    <w:rPr>
      <w:rFonts w:ascii="Arial" w:eastAsia="Times New Roman" w:hAnsi="Arial" w:cs="Arial"/>
      <w:color w:val="auto"/>
      <w:sz w:val="22"/>
      <w:lang w:eastAsia="en-GB" w:bidi="en-GB"/>
    </w:rPr>
  </w:style>
  <w:style w:type="character" w:customStyle="1" w:styleId="CommentTextChar">
    <w:name w:val="Comment Text Char"/>
    <w:basedOn w:val="DefaultParagraphFont"/>
    <w:link w:val="CommentText"/>
    <w:uiPriority w:val="99"/>
    <w:rsid w:val="000D7090"/>
    <w:rPr>
      <w:rFonts w:ascii="Arial" w:eastAsia="Times New Roman" w:hAnsi="Arial" w:cs="Arial"/>
      <w:lang w:val="en-GB" w:eastAsia="en-GB" w:bidi="en-GB"/>
    </w:rPr>
  </w:style>
  <w:style w:type="paragraph" w:customStyle="1" w:styleId="Normalar">
    <w:name w:val="Normal + ar"/>
    <w:basedOn w:val="Normal"/>
    <w:link w:val="NormalarTegn"/>
    <w:rsid w:val="00125B3C"/>
    <w:pPr>
      <w:keepLines/>
      <w:widowControl w:val="0"/>
      <w:spacing w:after="0" w:line="240" w:lineRule="auto"/>
    </w:pPr>
    <w:rPr>
      <w:rFonts w:ascii="Arial" w:eastAsia="Times New Roman" w:hAnsi="Arial" w:cs="Arial"/>
      <w:color w:val="auto"/>
      <w:sz w:val="22"/>
      <w:lang w:eastAsia="en-GB" w:bidi="en-GB"/>
    </w:rPr>
  </w:style>
  <w:style w:type="character" w:customStyle="1" w:styleId="NormalarTegn">
    <w:name w:val="Normal + ar Tegn"/>
    <w:link w:val="Normalar"/>
    <w:rsid w:val="00125B3C"/>
    <w:rPr>
      <w:rFonts w:ascii="Arial" w:eastAsia="Times New Roman" w:hAnsi="Arial" w:cs="Arial"/>
      <w:lang w:val="en-GB" w:eastAsia="en-GB" w:bidi="en-GB"/>
    </w:rPr>
  </w:style>
  <w:style w:type="paragraph" w:customStyle="1" w:styleId="Bokstavliste">
    <w:name w:val="Bokstavliste"/>
    <w:basedOn w:val="Normal"/>
    <w:rsid w:val="003A7AE9"/>
    <w:pPr>
      <w:keepLines/>
      <w:widowControl w:val="0"/>
      <w:numPr>
        <w:numId w:val="5"/>
      </w:numPr>
      <w:spacing w:after="120" w:line="240" w:lineRule="auto"/>
    </w:pPr>
    <w:rPr>
      <w:rFonts w:ascii="Arial" w:eastAsia="Times New Roman" w:hAnsi="Arial" w:cs="Arial"/>
      <w:color w:val="auto"/>
      <w:sz w:val="22"/>
      <w:lang w:eastAsia="en-GB" w:bidi="en-GB"/>
    </w:rPr>
  </w:style>
  <w:style w:type="paragraph" w:styleId="NoSpacing">
    <w:name w:val="No Spacing"/>
    <w:link w:val="NoSpacingChar"/>
    <w:uiPriority w:val="1"/>
    <w:qFormat/>
    <w:rsid w:val="008B7421"/>
    <w:pPr>
      <w:spacing w:after="0" w:line="240" w:lineRule="auto"/>
    </w:pPr>
    <w:rPr>
      <w:rFonts w:ascii="Times New Roman" w:eastAsia="Times New Roman" w:hAnsi="Times New Roman" w:cs="Times New Roman"/>
      <w:szCs w:val="20"/>
      <w:lang w:val="en-AU"/>
    </w:rPr>
  </w:style>
  <w:style w:type="character" w:customStyle="1" w:styleId="NoSpacingChar">
    <w:name w:val="No Spacing Char"/>
    <w:basedOn w:val="DefaultParagraphFont"/>
    <w:link w:val="NoSpacing"/>
    <w:uiPriority w:val="1"/>
    <w:rsid w:val="008B7421"/>
    <w:rPr>
      <w:rFonts w:ascii="Times New Roman" w:eastAsia="Times New Roman" w:hAnsi="Times New Roman" w:cs="Times New Roman"/>
      <w:szCs w:val="20"/>
      <w:lang w:val="en-AU"/>
    </w:rPr>
  </w:style>
  <w:style w:type="character" w:styleId="CommentReference">
    <w:name w:val="annotation reference"/>
    <w:basedOn w:val="DefaultParagraphFont"/>
    <w:uiPriority w:val="99"/>
    <w:semiHidden/>
    <w:unhideWhenUsed/>
    <w:rsid w:val="00B93572"/>
    <w:rPr>
      <w:sz w:val="16"/>
      <w:szCs w:val="16"/>
    </w:rPr>
  </w:style>
  <w:style w:type="paragraph" w:styleId="CommentSubject">
    <w:name w:val="annotation subject"/>
    <w:basedOn w:val="CommentText"/>
    <w:next w:val="CommentText"/>
    <w:link w:val="CommentSubjectChar"/>
    <w:uiPriority w:val="99"/>
    <w:semiHidden/>
    <w:unhideWhenUsed/>
    <w:rsid w:val="00B93572"/>
    <w:pPr>
      <w:keepLines w:val="0"/>
      <w:widowControl/>
      <w:spacing w:after="160"/>
    </w:pPr>
    <w:rPr>
      <w:rFonts w:asciiTheme="minorHAnsi" w:eastAsiaTheme="minorHAnsi" w:hAnsiTheme="minorHAnsi" w:cstheme="minorBidi"/>
      <w:b/>
      <w:bCs/>
      <w:color w:val="464645" w:themeColor="text1"/>
      <w:sz w:val="20"/>
      <w:szCs w:val="20"/>
      <w:lang w:eastAsia="en-US" w:bidi="ar-SA"/>
    </w:rPr>
  </w:style>
  <w:style w:type="character" w:customStyle="1" w:styleId="CommentSubjectChar">
    <w:name w:val="Comment Subject Char"/>
    <w:basedOn w:val="CommentTextChar"/>
    <w:link w:val="CommentSubject"/>
    <w:uiPriority w:val="99"/>
    <w:semiHidden/>
    <w:rsid w:val="00B93572"/>
    <w:rPr>
      <w:rFonts w:ascii="Arial" w:eastAsia="Times New Roman" w:hAnsi="Arial" w:cs="Arial"/>
      <w:b/>
      <w:bCs/>
      <w:color w:val="464645" w:themeColor="text1"/>
      <w:sz w:val="20"/>
      <w:szCs w:val="20"/>
      <w:lang w:val="en-GB" w:eastAsia="en-GB" w:bidi="en-GB"/>
    </w:rPr>
  </w:style>
  <w:style w:type="paragraph" w:customStyle="1" w:styleId="Teknisk4">
    <w:name w:val="Teknisk 4"/>
    <w:rsid w:val="00F4071B"/>
    <w:pPr>
      <w:tabs>
        <w:tab w:val="left" w:pos="-720"/>
      </w:tabs>
      <w:suppressAutoHyphens/>
      <w:spacing w:after="0" w:line="240" w:lineRule="auto"/>
    </w:pPr>
    <w:rPr>
      <w:rFonts w:ascii="Courier New" w:eastAsia="Times New Roman" w:hAnsi="Courier New" w:cs="Times New Roman"/>
      <w:b/>
      <w:sz w:val="24"/>
      <w:szCs w:val="20"/>
      <w:lang w:val="en-GB" w:eastAsia="en-GB" w:bidi="en-GB"/>
    </w:rPr>
  </w:style>
  <w:style w:type="paragraph" w:customStyle="1" w:styleId="AvsntilhQy1">
    <w:name w:val="Avsn til hÀQÀy 1"/>
    <w:rsid w:val="00F4071B"/>
    <w:pPr>
      <w:tabs>
        <w:tab w:val="left" w:pos="-720"/>
        <w:tab w:val="left" w:pos="0"/>
        <w:tab w:val="decimal" w:pos="720"/>
      </w:tabs>
      <w:suppressAutoHyphens/>
      <w:spacing w:after="0" w:line="240" w:lineRule="auto"/>
      <w:ind w:left="720"/>
    </w:pPr>
    <w:rPr>
      <w:rFonts w:ascii="Courier New" w:eastAsia="Times New Roman" w:hAnsi="Courier New" w:cs="Times New Roman"/>
      <w:sz w:val="24"/>
      <w:szCs w:val="20"/>
      <w:lang w:val="en-GB" w:eastAsia="en-GB" w:bidi="en-GB"/>
    </w:rPr>
  </w:style>
  <w:style w:type="paragraph" w:styleId="BodyText">
    <w:name w:val="Body Text"/>
    <w:basedOn w:val="Normal"/>
    <w:link w:val="BodyTextChar"/>
    <w:uiPriority w:val="99"/>
    <w:semiHidden/>
    <w:unhideWhenUsed/>
    <w:rsid w:val="00AC683B"/>
    <w:pPr>
      <w:spacing w:after="120" w:line="240" w:lineRule="auto"/>
    </w:pPr>
    <w:rPr>
      <w:rFonts w:ascii="Calibri" w:hAnsi="Calibri" w:cs="Calibri"/>
      <w:color w:val="auto"/>
      <w:sz w:val="22"/>
      <w:lang w:val="en-US"/>
    </w:rPr>
  </w:style>
  <w:style w:type="character" w:customStyle="1" w:styleId="BodyTextChar">
    <w:name w:val="Body Text Char"/>
    <w:basedOn w:val="DefaultParagraphFont"/>
    <w:link w:val="BodyText"/>
    <w:uiPriority w:val="99"/>
    <w:semiHidden/>
    <w:rsid w:val="00AC683B"/>
    <w:rPr>
      <w:rFonts w:ascii="Calibri" w:hAnsi="Calibri" w:cs="Calibri"/>
      <w:lang w:val="en-US"/>
    </w:rPr>
  </w:style>
  <w:style w:type="paragraph" w:customStyle="1" w:styleId="commentcontentpara">
    <w:name w:val="commentcontentpara"/>
    <w:basedOn w:val="Normal"/>
    <w:rsid w:val="00B519FB"/>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Footnotesrefss">
    <w:name w:val="Footnotes refss"/>
    <w:aliases w:val="Ref,de nota al pie,Footnote Reference1, BVI fnr Car Car1 Car Car Char Car Char Car Char Char,BVI fnr Car Car1 Car Car Char Car Char Car Char Char"/>
    <w:basedOn w:val="Normal"/>
    <w:link w:val="FootnoteReference"/>
    <w:uiPriority w:val="99"/>
    <w:rsid w:val="00B519FB"/>
    <w:pPr>
      <w:spacing w:line="240" w:lineRule="exact"/>
    </w:pPr>
    <w:rPr>
      <w:color w:val="auto"/>
      <w:sz w:val="22"/>
      <w:vertAlign w:val="superscript"/>
      <w:lang w:val="nb-NO"/>
    </w:rPr>
  </w:style>
  <w:style w:type="character" w:customStyle="1" w:styleId="UnresolvedMention">
    <w:name w:val="Unresolved Mention"/>
    <w:basedOn w:val="DefaultParagraphFont"/>
    <w:uiPriority w:val="99"/>
    <w:unhideWhenUsed/>
    <w:rsid w:val="007A5B0D"/>
    <w:rPr>
      <w:color w:val="605E5C"/>
      <w:shd w:val="clear" w:color="auto" w:fill="E1DFDD"/>
    </w:rPr>
  </w:style>
  <w:style w:type="character" w:customStyle="1" w:styleId="Mention">
    <w:name w:val="Mention"/>
    <w:basedOn w:val="DefaultParagraphFont"/>
    <w:uiPriority w:val="99"/>
    <w:unhideWhenUsed/>
    <w:rsid w:val="007A5B0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247548">
      <w:bodyDiv w:val="1"/>
      <w:marLeft w:val="0"/>
      <w:marRight w:val="0"/>
      <w:marTop w:val="0"/>
      <w:marBottom w:val="0"/>
      <w:divBdr>
        <w:top w:val="none" w:sz="0" w:space="0" w:color="auto"/>
        <w:left w:val="none" w:sz="0" w:space="0" w:color="auto"/>
        <w:bottom w:val="none" w:sz="0" w:space="0" w:color="auto"/>
        <w:right w:val="none" w:sz="0" w:space="0" w:color="auto"/>
      </w:divBdr>
    </w:div>
    <w:div w:id="1437559011">
      <w:bodyDiv w:val="1"/>
      <w:marLeft w:val="0"/>
      <w:marRight w:val="0"/>
      <w:marTop w:val="0"/>
      <w:marBottom w:val="0"/>
      <w:divBdr>
        <w:top w:val="none" w:sz="0" w:space="0" w:color="auto"/>
        <w:left w:val="none" w:sz="0" w:space="0" w:color="auto"/>
        <w:bottom w:val="none" w:sz="0" w:space="0" w:color="auto"/>
        <w:right w:val="none" w:sz="0" w:space="0" w:color="auto"/>
      </w:divBdr>
    </w:div>
    <w:div w:id="1441952204">
      <w:bodyDiv w:val="1"/>
      <w:marLeft w:val="0"/>
      <w:marRight w:val="0"/>
      <w:marTop w:val="0"/>
      <w:marBottom w:val="0"/>
      <w:divBdr>
        <w:top w:val="none" w:sz="0" w:space="0" w:color="auto"/>
        <w:left w:val="none" w:sz="0" w:space="0" w:color="auto"/>
        <w:bottom w:val="none" w:sz="0" w:space="0" w:color="auto"/>
        <w:right w:val="none" w:sz="0" w:space="0" w:color="auto"/>
      </w:divBdr>
      <w:divsChild>
        <w:div w:id="594630318">
          <w:marLeft w:val="432"/>
          <w:marRight w:val="216"/>
          <w:marTop w:val="0"/>
          <w:marBottom w:val="0"/>
          <w:divBdr>
            <w:top w:val="none" w:sz="0" w:space="0" w:color="auto"/>
            <w:left w:val="none" w:sz="0" w:space="0" w:color="auto"/>
            <w:bottom w:val="none" w:sz="0" w:space="0" w:color="auto"/>
            <w:right w:val="none" w:sz="0" w:space="0" w:color="auto"/>
          </w:divBdr>
        </w:div>
        <w:div w:id="1646201862">
          <w:marLeft w:val="216"/>
          <w:marRight w:val="432"/>
          <w:marTop w:val="0"/>
          <w:marBottom w:val="0"/>
          <w:divBdr>
            <w:top w:val="none" w:sz="0" w:space="0" w:color="auto"/>
            <w:left w:val="none" w:sz="0" w:space="0" w:color="auto"/>
            <w:bottom w:val="none" w:sz="0" w:space="0" w:color="auto"/>
            <w:right w:val="none" w:sz="0" w:space="0" w:color="auto"/>
          </w:divBdr>
        </w:div>
        <w:div w:id="1831020844">
          <w:marLeft w:val="216"/>
          <w:marRight w:val="432"/>
          <w:marTop w:val="0"/>
          <w:marBottom w:val="0"/>
          <w:divBdr>
            <w:top w:val="none" w:sz="0" w:space="0" w:color="auto"/>
            <w:left w:val="none" w:sz="0" w:space="0" w:color="auto"/>
            <w:bottom w:val="none" w:sz="0" w:space="0" w:color="auto"/>
            <w:right w:val="none" w:sz="0" w:space="0" w:color="auto"/>
          </w:divBdr>
        </w:div>
        <w:div w:id="2073845843">
          <w:marLeft w:val="432"/>
          <w:marRight w:val="216"/>
          <w:marTop w:val="0"/>
          <w:marBottom w:val="0"/>
          <w:divBdr>
            <w:top w:val="none" w:sz="0" w:space="0" w:color="auto"/>
            <w:left w:val="none" w:sz="0" w:space="0" w:color="auto"/>
            <w:bottom w:val="none" w:sz="0" w:space="0" w:color="auto"/>
            <w:right w:val="none" w:sz="0" w:space="0" w:color="auto"/>
          </w:divBdr>
        </w:div>
      </w:divsChild>
    </w:div>
    <w:div w:id="1453743271">
      <w:bodyDiv w:val="1"/>
      <w:marLeft w:val="0"/>
      <w:marRight w:val="0"/>
      <w:marTop w:val="0"/>
      <w:marBottom w:val="0"/>
      <w:divBdr>
        <w:top w:val="none" w:sz="0" w:space="0" w:color="auto"/>
        <w:left w:val="none" w:sz="0" w:space="0" w:color="auto"/>
        <w:bottom w:val="none" w:sz="0" w:space="0" w:color="auto"/>
        <w:right w:val="none" w:sz="0" w:space="0" w:color="auto"/>
      </w:divBdr>
      <w:divsChild>
        <w:div w:id="40978156">
          <w:marLeft w:val="216"/>
          <w:marRight w:val="432"/>
          <w:marTop w:val="0"/>
          <w:marBottom w:val="0"/>
          <w:divBdr>
            <w:top w:val="none" w:sz="0" w:space="0" w:color="auto"/>
            <w:left w:val="none" w:sz="0" w:space="0" w:color="auto"/>
            <w:bottom w:val="none" w:sz="0" w:space="0" w:color="auto"/>
            <w:right w:val="none" w:sz="0" w:space="0" w:color="auto"/>
          </w:divBdr>
        </w:div>
        <w:div w:id="432361374">
          <w:marLeft w:val="432"/>
          <w:marRight w:val="216"/>
          <w:marTop w:val="0"/>
          <w:marBottom w:val="0"/>
          <w:divBdr>
            <w:top w:val="none" w:sz="0" w:space="0" w:color="auto"/>
            <w:left w:val="none" w:sz="0" w:space="0" w:color="auto"/>
            <w:bottom w:val="none" w:sz="0" w:space="0" w:color="auto"/>
            <w:right w:val="none" w:sz="0" w:space="0" w:color="auto"/>
          </w:divBdr>
        </w:div>
        <w:div w:id="753164819">
          <w:marLeft w:val="216"/>
          <w:marRight w:val="432"/>
          <w:marTop w:val="0"/>
          <w:marBottom w:val="0"/>
          <w:divBdr>
            <w:top w:val="none" w:sz="0" w:space="0" w:color="auto"/>
            <w:left w:val="none" w:sz="0" w:space="0" w:color="auto"/>
            <w:bottom w:val="none" w:sz="0" w:space="0" w:color="auto"/>
            <w:right w:val="none" w:sz="0" w:space="0" w:color="auto"/>
          </w:divBdr>
        </w:div>
        <w:div w:id="1442844290">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ordan.procurement@nrc.no"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unesdoc.unesco.org/images/0014/001418/141812e.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eur01.safelinks.protection.outlook.com/?url=http%3A%2F%2Fwww.dos.gov.jo%2Fowa-user%2Fowa%2Femp_unemp.show_tables1%3Flang%3DE%26year1%3D2019%26round%3D1%26t_no%3D21&amp;data=02%7C01%7Cemma.bonar%40nrc.no%7Ca18dc59ceca9489b700908d6fd5c7295%7C3f86d1b42c6b4b1ab2ae6f5e950bca1e%7C0%7C0%7C636974970854816187&amp;sdata=uaZIMFzG%2FXHQYSEgB1SMtTF4Q%2FgCxUgEZ7m6Ojg1Nbo%3D&amp;reserved=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NRC">
      <a:dk1>
        <a:srgbClr val="464645"/>
      </a:dk1>
      <a:lt1>
        <a:sysClr val="window" lastClr="FFFFFF"/>
      </a:lt1>
      <a:dk2>
        <a:srgbClr val="A6A6A5"/>
      </a:dk2>
      <a:lt2>
        <a:srgbClr val="D3D3D2"/>
      </a:lt2>
      <a:accent1>
        <a:srgbClr val="FF7602"/>
      </a:accent1>
      <a:accent2>
        <a:srgbClr val="72C7E7"/>
      </a:accent2>
      <a:accent3>
        <a:srgbClr val="0094B3"/>
      </a:accent3>
      <a:accent4>
        <a:srgbClr val="CE5C43"/>
      </a:accent4>
      <a:accent5>
        <a:srgbClr val="FDC82F"/>
      </a:accent5>
      <a:accent6>
        <a:srgbClr val="F3EC7A"/>
      </a:accent6>
      <a:hlink>
        <a:srgbClr val="0563C1"/>
      </a:hlink>
      <a:folHlink>
        <a:srgbClr val="954F72"/>
      </a:folHlink>
    </a:clrScheme>
    <a:fontScheme name="NRC">
      <a:majorFont>
        <a:latin typeface="Franklin Gothic Book"/>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3175">
          <a:solidFill>
            <a:schemeClr val="tx2"/>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12F3F4157654E4AAC8C1AC43A84E725" ma:contentTypeVersion="11" ma:contentTypeDescription="Opprett et nytt dokument." ma:contentTypeScope="" ma:versionID="f632a1e51ad7b417905b1d766170cefe">
  <xsd:schema xmlns:xsd="http://www.w3.org/2001/XMLSchema" xmlns:xs="http://www.w3.org/2001/XMLSchema" xmlns:p="http://schemas.microsoft.com/office/2006/metadata/properties" xmlns:ns3="f6ec54b8-df7f-4a69-aa69-5c46537170ed" xmlns:ns4="30f65f0f-6e7a-4da5-a3ae-8a9a0f7d72f2" targetNamespace="http://schemas.microsoft.com/office/2006/metadata/properties" ma:root="true" ma:fieldsID="e7f0ba444fc3f305e28b6e730fd3171c" ns3:_="" ns4:_="">
    <xsd:import namespace="f6ec54b8-df7f-4a69-aa69-5c46537170ed"/>
    <xsd:import namespace="30f65f0f-6e7a-4da5-a3ae-8a9a0f7d72f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c54b8-df7f-4a69-aa69-5c46537170e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f65f0f-6e7a-4da5-a3ae-8a9a0f7d72f2"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element name="SharingHintHash" ma:index="16"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6C80C-ECFA-44D5-A7DD-E5DF5191A00E}">
  <ds:schemaRefs>
    <ds:schemaRef ds:uri="http://purl.org/dc/elements/1.1/"/>
    <ds:schemaRef ds:uri="http://purl.org/dc/terms/"/>
    <ds:schemaRef ds:uri="http://www.w3.org/XML/1998/namespace"/>
    <ds:schemaRef ds:uri="http://schemas.microsoft.com/office/2006/documentManagement/types"/>
    <ds:schemaRef ds:uri="http://schemas.microsoft.com/office/2006/metadata/properties"/>
    <ds:schemaRef ds:uri="http://purl.org/dc/dcmitype/"/>
    <ds:schemaRef ds:uri="f6ec54b8-df7f-4a69-aa69-5c46537170ed"/>
    <ds:schemaRef ds:uri="http://schemas.microsoft.com/office/infopath/2007/PartnerControls"/>
    <ds:schemaRef ds:uri="http://schemas.openxmlformats.org/package/2006/metadata/core-properties"/>
    <ds:schemaRef ds:uri="30f65f0f-6e7a-4da5-a3ae-8a9a0f7d72f2"/>
  </ds:schemaRefs>
</ds:datastoreItem>
</file>

<file path=customXml/itemProps2.xml><?xml version="1.0" encoding="utf-8"?>
<ds:datastoreItem xmlns:ds="http://schemas.openxmlformats.org/officeDocument/2006/customXml" ds:itemID="{E34A5C69-A907-4D71-8BF3-FEABF3005C93}">
  <ds:schemaRefs>
    <ds:schemaRef ds:uri="http://schemas.microsoft.com/sharepoint/v3/contenttype/forms"/>
  </ds:schemaRefs>
</ds:datastoreItem>
</file>

<file path=customXml/itemProps3.xml><?xml version="1.0" encoding="utf-8"?>
<ds:datastoreItem xmlns:ds="http://schemas.openxmlformats.org/officeDocument/2006/customXml" ds:itemID="{20CF7E5C-D59C-49C4-8FF5-BC649CECE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ec54b8-df7f-4a69-aa69-5c46537170ed"/>
    <ds:schemaRef ds:uri="30f65f0f-6e7a-4da5-a3ae-8a9a0f7d72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B7BBFD-CE12-4C30-9DA7-35A00032CCA7}">
  <ds:schemaRefs/>
</ds:datastoreItem>
</file>

<file path=customXml/itemProps5.xml><?xml version="1.0" encoding="utf-8"?>
<ds:datastoreItem xmlns:ds="http://schemas.openxmlformats.org/officeDocument/2006/customXml" ds:itemID="{A63A4EAF-4990-40C4-B114-63D463C63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2676</Words>
  <Characters>15257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Consultancy Agreement</vt:lpstr>
    </vt:vector>
  </TitlesOfParts>
  <Company>Norwegian Refugee Council (NRC)</Company>
  <LinksUpToDate>false</LinksUpToDate>
  <CharactersWithSpaces>17898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Consultancy Agreement</dc:title>
  <dc:subject>Adapted from the Norwegian Government's Standard Terms and Conditions for Consultancy SSA-B</dc:subject>
  <dc:creator>Organisational Development Department, June 2018</dc:creator>
  <cp:keywords/>
  <dc:description/>
  <cp:lastModifiedBy>Bareq Darwish Ahmad</cp:lastModifiedBy>
  <cp:revision>3</cp:revision>
  <dcterms:created xsi:type="dcterms:W3CDTF">2020-02-11T10:35:00Z</dcterms:created>
  <dcterms:modified xsi:type="dcterms:W3CDTF">2020-02-11T12:12:00Z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y fmtid="{D5CDD505-2E9C-101B-9397-08002B2CF9AE}" pid="3" name="ContentTypeId">
    <vt:lpwstr>0x010100C12F3F4157654E4AAC8C1AC43A84E725</vt:lpwstr>
  </property>
</Properties>
</file>