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60C21" w14:textId="0025BD95" w:rsidR="000E5E40" w:rsidRDefault="000E5E40" w:rsidP="004D2814">
      <w:pPr>
        <w:ind w:left="-142" w:firstLine="142"/>
        <w:jc w:val="center"/>
        <w:rPr>
          <w:b/>
          <w:bCs/>
          <w:color w:val="FF7602" w:themeColor="accent1"/>
          <w:sz w:val="28"/>
          <w:szCs w:val="28"/>
        </w:rPr>
      </w:pPr>
      <w:r w:rsidRPr="5552AE94">
        <w:rPr>
          <w:b/>
          <w:bCs/>
          <w:color w:val="FF7602" w:themeColor="accent1"/>
          <w:sz w:val="28"/>
          <w:szCs w:val="28"/>
        </w:rPr>
        <w:t>Terms of Reference (ToR)</w:t>
      </w:r>
    </w:p>
    <w:p w14:paraId="62C43F80" w14:textId="77777777" w:rsidR="009F7A94" w:rsidRDefault="000E5E40" w:rsidP="004D2814">
      <w:pPr>
        <w:ind w:left="-142" w:firstLine="142"/>
        <w:jc w:val="center"/>
        <w:rPr>
          <w:b/>
          <w:bCs/>
          <w:color w:val="FF7602" w:themeColor="accent1"/>
          <w:sz w:val="28"/>
          <w:szCs w:val="28"/>
        </w:rPr>
      </w:pPr>
      <w:r w:rsidRPr="24667446">
        <w:rPr>
          <w:b/>
          <w:bCs/>
          <w:color w:val="FF7602" w:themeColor="accent1"/>
          <w:sz w:val="28"/>
          <w:szCs w:val="28"/>
        </w:rPr>
        <w:t xml:space="preserve">Title: </w:t>
      </w:r>
      <w:r w:rsidR="009F7A94" w:rsidRPr="009F7A94">
        <w:rPr>
          <w:b/>
          <w:bCs/>
          <w:color w:val="FF7602" w:themeColor="accent1"/>
          <w:sz w:val="28"/>
          <w:szCs w:val="28"/>
        </w:rPr>
        <w:t xml:space="preserve">ERC Flexible Mini-Grants (FMG) – </w:t>
      </w:r>
    </w:p>
    <w:p w14:paraId="7A37C4DD" w14:textId="031F4C71" w:rsidR="000E5E40" w:rsidRDefault="009F7A94" w:rsidP="004D2814">
      <w:pPr>
        <w:ind w:left="-142" w:firstLine="142"/>
        <w:jc w:val="center"/>
        <w:rPr>
          <w:b/>
          <w:bCs/>
          <w:color w:val="FF7602" w:themeColor="accent1"/>
          <w:sz w:val="28"/>
          <w:szCs w:val="28"/>
        </w:rPr>
      </w:pPr>
      <w:r w:rsidRPr="009F7A94">
        <w:rPr>
          <w:b/>
          <w:bCs/>
          <w:color w:val="FF7602" w:themeColor="accent1"/>
          <w:sz w:val="28"/>
          <w:szCs w:val="28"/>
        </w:rPr>
        <w:t>Simplified Cost Options (SCO) Development Consultancy</w:t>
      </w:r>
    </w:p>
    <w:p w14:paraId="311EF3BE" w14:textId="77777777" w:rsidR="000E5E40" w:rsidRDefault="000E5E40" w:rsidP="5552AE94">
      <w:pPr>
        <w:ind w:left="720"/>
        <w:jc w:val="both"/>
        <w:rPr>
          <w:b/>
          <w:bCs/>
        </w:rPr>
      </w:pPr>
    </w:p>
    <w:p w14:paraId="49A8DB3B" w14:textId="77777777" w:rsidR="00930CDB" w:rsidRPr="00930CDB" w:rsidRDefault="00930CDB" w:rsidP="003802DC">
      <w:pPr>
        <w:ind w:firstLine="709"/>
        <w:jc w:val="both"/>
        <w:rPr>
          <w:b/>
          <w:bCs/>
          <w:u w:val="single"/>
        </w:rPr>
      </w:pPr>
      <w:r w:rsidRPr="00930CDB">
        <w:rPr>
          <w:b/>
          <w:bCs/>
          <w:u w:val="single"/>
        </w:rPr>
        <w:t>1. Background</w:t>
      </w:r>
    </w:p>
    <w:p w14:paraId="2D729F6B" w14:textId="6453E4DD" w:rsidR="00930CDB" w:rsidRPr="00930CDB" w:rsidRDefault="00930CDB" w:rsidP="00930CDB">
      <w:pPr>
        <w:ind w:left="357" w:firstLine="352"/>
        <w:jc w:val="both"/>
      </w:pPr>
      <w:r>
        <w:t xml:space="preserve">NRC has been piloting </w:t>
      </w:r>
      <w:r w:rsidR="009F7A94">
        <w:t>a</w:t>
      </w:r>
      <w:r>
        <w:t xml:space="preserve"> Flexible Mini-Grant (FMG) modality to enhance responsiveness, localisation, and equitable partnerships in humanitarian programming</w:t>
      </w:r>
      <w:r w:rsidR="2C2D5FF7">
        <w:t xml:space="preserve"> under a variety of funding sources and donors</w:t>
      </w:r>
      <w:r>
        <w:t>.</w:t>
      </w:r>
      <w:r w:rsidR="0EF5ED87">
        <w:t xml:space="preserve"> In 2024, NRC was funded by DG ECHO to develop a FMG modality that would be compliant with ECHO rules and regulations.</w:t>
      </w:r>
      <w:r>
        <w:t xml:space="preserve"> </w:t>
      </w:r>
      <w:r w:rsidR="0512532D">
        <w:t xml:space="preserve">During the first phase of the project, NRC held consultations with DG ECHO Legal team (E1), </w:t>
      </w:r>
      <w:r w:rsidR="4480EFE5">
        <w:t>Finance (E3) and Audit teams (E2)</w:t>
      </w:r>
      <w:r w:rsidR="0512532D">
        <w:t xml:space="preserve"> to </w:t>
      </w:r>
      <w:r w:rsidR="663AFC3B">
        <w:t>explore</w:t>
      </w:r>
      <w:r w:rsidR="0512532D">
        <w:t xml:space="preserve"> </w:t>
      </w:r>
      <w:r w:rsidR="05C2FA29">
        <w:t xml:space="preserve">legal and financial </w:t>
      </w:r>
      <w:r w:rsidR="0512532D">
        <w:t>fe</w:t>
      </w:r>
      <w:r w:rsidR="1FA05996">
        <w:t>a</w:t>
      </w:r>
      <w:r w:rsidR="0512532D">
        <w:t>s</w:t>
      </w:r>
      <w:r w:rsidR="2BC67AB1">
        <w:t>i</w:t>
      </w:r>
      <w:r w:rsidR="0512532D">
        <w:t xml:space="preserve">bility </w:t>
      </w:r>
      <w:r w:rsidR="02A68732">
        <w:t xml:space="preserve">of the FMG approach </w:t>
      </w:r>
      <w:r w:rsidR="0512532D">
        <w:t xml:space="preserve">and identify three </w:t>
      </w:r>
      <w:r w:rsidR="38982CB4">
        <w:t>options for implementing and accounting under DG ECHO the use of FMGs to b</w:t>
      </w:r>
      <w:r w:rsidR="0512532D">
        <w:t>e piloted in Colombia</w:t>
      </w:r>
      <w:r w:rsidR="7DFA48F6">
        <w:t xml:space="preserve">. </w:t>
      </w:r>
      <w:r>
        <w:t xml:space="preserve"> NRC is</w:t>
      </w:r>
      <w:r w:rsidR="705C36A7">
        <w:t xml:space="preserve"> now</w:t>
      </w:r>
      <w:r>
        <w:t xml:space="preserve"> entering a second phase</w:t>
      </w:r>
      <w:r w:rsidR="7C0B284A">
        <w:t>, which will focus on further designing the financial</w:t>
      </w:r>
      <w:r w:rsidR="09D316C9">
        <w:t xml:space="preserve"> and legal</w:t>
      </w:r>
      <w:r w:rsidR="7C0B284A">
        <w:t xml:space="preserve"> compliance </w:t>
      </w:r>
      <w:r w:rsidR="151D1FC3">
        <w:t xml:space="preserve">aspects of each of the three options to expand </w:t>
      </w:r>
      <w:r w:rsidR="43D3C9D9">
        <w:t>and contextualise</w:t>
      </w:r>
      <w:r w:rsidR="151D1FC3">
        <w:t xml:space="preserve"> the current </w:t>
      </w:r>
      <w:r w:rsidR="7C0B284A">
        <w:t>SOPs for piloting in Colombia</w:t>
      </w:r>
      <w:r w:rsidR="00271A70">
        <w:t xml:space="preserve">. </w:t>
      </w:r>
      <w:r w:rsidRPr="00930CDB">
        <w:t xml:space="preserve">As </w:t>
      </w:r>
      <w:r w:rsidR="00B45AAE">
        <w:t xml:space="preserve">NRC </w:t>
      </w:r>
      <w:r w:rsidRPr="00930CDB">
        <w:t>continues to explore simplification, proportionality, and equitable partnerships, there is an opportunity to develop and test a Simplified Cost Options (SCO) approach for FMG that reduces transaction costs while ensuring full compliance with ECHO’s legal and financial regulations.</w:t>
      </w:r>
    </w:p>
    <w:p w14:paraId="215A84F8" w14:textId="2CDD8ABA" w:rsidR="00930CDB" w:rsidRPr="00930CDB" w:rsidRDefault="00930CDB" w:rsidP="00930CDB">
      <w:pPr>
        <w:ind w:left="357" w:firstLine="352"/>
        <w:jc w:val="both"/>
      </w:pPr>
      <w:r>
        <w:t>This consultancy will support NRC in building a robust evidence base, in close collaboration with NRC Finance and Risk teams, to demonstrate the feasibility, compliance, and added value of applying Simplified Cost Options to FMG</w:t>
      </w:r>
      <w:r w:rsidR="7A2266CE">
        <w:t xml:space="preserve"> and provide DG ECHO with language and evidence to issue an authorising decision</w:t>
      </w:r>
      <w:r>
        <w:t>. The assignment will also result in a draft FMG SOP for implementation using SCOs, designed to meet ECHO regulatory requirements and to inform structured dialogue with ECHO.</w:t>
      </w:r>
    </w:p>
    <w:p w14:paraId="28ABE14E" w14:textId="286558BD" w:rsidR="00930CDB" w:rsidRPr="00930CDB" w:rsidRDefault="00930CDB" w:rsidP="00930CDB">
      <w:pPr>
        <w:ind w:left="357" w:firstLine="352"/>
        <w:jc w:val="both"/>
        <w:rPr>
          <w:b/>
          <w:bCs/>
        </w:rPr>
      </w:pPr>
    </w:p>
    <w:p w14:paraId="64EF448D" w14:textId="77777777" w:rsidR="00930CDB" w:rsidRPr="00930CDB" w:rsidRDefault="00930CDB" w:rsidP="003802DC">
      <w:pPr>
        <w:ind w:firstLine="709"/>
        <w:jc w:val="both"/>
        <w:rPr>
          <w:b/>
          <w:bCs/>
          <w:u w:val="single"/>
        </w:rPr>
      </w:pPr>
      <w:r w:rsidRPr="00930CDB">
        <w:rPr>
          <w:b/>
          <w:bCs/>
          <w:u w:val="single"/>
        </w:rPr>
        <w:t>2. Objectives</w:t>
      </w:r>
    </w:p>
    <w:p w14:paraId="2191D370" w14:textId="3A2218F6" w:rsidR="00930CDB" w:rsidRPr="00930CDB" w:rsidRDefault="00930CDB" w:rsidP="003092AF">
      <w:pPr>
        <w:ind w:left="720"/>
        <w:jc w:val="both"/>
        <w:rPr>
          <w:b/>
          <w:bCs/>
        </w:rPr>
      </w:pPr>
      <w:r w:rsidRPr="003092AF">
        <w:rPr>
          <w:b/>
          <w:bCs/>
        </w:rPr>
        <w:t>Main Objective</w:t>
      </w:r>
      <w:r w:rsidR="565C9A7A" w:rsidRPr="003092AF">
        <w:rPr>
          <w:b/>
          <w:bCs/>
        </w:rPr>
        <w:t>s</w:t>
      </w:r>
      <w:r w:rsidR="00C94E02" w:rsidRPr="003092AF">
        <w:rPr>
          <w:b/>
          <w:bCs/>
        </w:rPr>
        <w:t xml:space="preserve">: </w:t>
      </w:r>
    </w:p>
    <w:p w14:paraId="3A3E4DE1" w14:textId="010F219D" w:rsidR="00930CDB" w:rsidRPr="00930CDB" w:rsidRDefault="00930CDB" w:rsidP="00D301D4">
      <w:pPr>
        <w:pStyle w:val="Prrafodelista"/>
        <w:jc w:val="both"/>
        <w:rPr>
          <w:b/>
          <w:bCs/>
        </w:rPr>
      </w:pPr>
      <w:r>
        <w:t xml:space="preserve">To build a credible, compliant, and evidence-based case for the use of </w:t>
      </w:r>
      <w:r w:rsidR="1C52F532">
        <w:t>the most suitable</w:t>
      </w:r>
      <w:r w:rsidR="2551A33C">
        <w:t xml:space="preserve"> </w:t>
      </w:r>
      <w:r>
        <w:t xml:space="preserve">Simplified Cost </w:t>
      </w:r>
      <w:r w:rsidR="00D301D4">
        <w:t xml:space="preserve">Option </w:t>
      </w:r>
      <w:r w:rsidR="004E38D3">
        <w:t>for funding</w:t>
      </w:r>
      <w:r w:rsidR="7283C835">
        <w:t xml:space="preserve"> to informal local actors via flexible mini grants under DG ECHO</w:t>
      </w:r>
      <w:r>
        <w:t>,</w:t>
      </w:r>
    </w:p>
    <w:p w14:paraId="25322E09" w14:textId="5A1F0DB4" w:rsidR="00930CDB" w:rsidRPr="00930CDB" w:rsidRDefault="75B577BC" w:rsidP="00D301D4">
      <w:pPr>
        <w:pStyle w:val="Prrafodelista"/>
        <w:jc w:val="both"/>
        <w:rPr>
          <w:b/>
          <w:bCs/>
        </w:rPr>
      </w:pPr>
      <w:r>
        <w:t>Draft the legal and compliance-related sections of the SOPs for the piloting of the remaining two options (Financial Support to Third Parties and Group Cash Transfers)</w:t>
      </w:r>
      <w:r w:rsidR="3CC7196C">
        <w:t>.</w:t>
      </w:r>
    </w:p>
    <w:p w14:paraId="111CD063" w14:textId="0AC9B8C4" w:rsidR="00930CDB" w:rsidRPr="00930CDB" w:rsidRDefault="00930CDB" w:rsidP="00AE4873">
      <w:pPr>
        <w:ind w:left="720"/>
        <w:jc w:val="both"/>
        <w:rPr>
          <w:b/>
          <w:bCs/>
        </w:rPr>
      </w:pPr>
      <w:r w:rsidRPr="003092AF">
        <w:rPr>
          <w:b/>
          <w:bCs/>
        </w:rPr>
        <w:t>Specific Objectives</w:t>
      </w:r>
      <w:r w:rsidR="009F7A94" w:rsidRPr="003092AF">
        <w:rPr>
          <w:b/>
          <w:bCs/>
        </w:rPr>
        <w:t>:</w:t>
      </w:r>
    </w:p>
    <w:p w14:paraId="19731386" w14:textId="077A696E" w:rsidR="00930CDB" w:rsidRPr="00930CDB" w:rsidRDefault="00930CDB" w:rsidP="00724A01">
      <w:pPr>
        <w:numPr>
          <w:ilvl w:val="0"/>
          <w:numId w:val="15"/>
        </w:numPr>
        <w:spacing w:after="0" w:line="240" w:lineRule="auto"/>
        <w:jc w:val="both"/>
      </w:pPr>
      <w:r>
        <w:t xml:space="preserve">Analyse current FMG cost structures, financial flows, and reporting requirements to identify </w:t>
      </w:r>
      <w:r w:rsidR="0BB53A80">
        <w:t>what steps need to be taken and guidance provided to Colombia country office to pilot the three options</w:t>
      </w:r>
      <w:r>
        <w:t>.</w:t>
      </w:r>
    </w:p>
    <w:p w14:paraId="6EC0BFF0" w14:textId="77777777" w:rsidR="00930CDB" w:rsidRPr="00930CDB" w:rsidRDefault="00930CDB" w:rsidP="00724A01">
      <w:pPr>
        <w:numPr>
          <w:ilvl w:val="0"/>
          <w:numId w:val="15"/>
        </w:numPr>
        <w:spacing w:after="0" w:line="240" w:lineRule="auto"/>
        <w:jc w:val="both"/>
      </w:pPr>
      <w:r w:rsidRPr="00930CDB">
        <w:t>Work closely with NRC Finance and Risk teams to build evidence and financial logic underpinning potential Simplified Cost Options for FMG.</w:t>
      </w:r>
    </w:p>
    <w:p w14:paraId="7390463B" w14:textId="58F6534C" w:rsidR="00930CDB" w:rsidRPr="00930CDB" w:rsidRDefault="00930CDB" w:rsidP="00724A01">
      <w:pPr>
        <w:numPr>
          <w:ilvl w:val="0"/>
          <w:numId w:val="15"/>
        </w:numPr>
        <w:spacing w:after="0" w:line="240" w:lineRule="auto"/>
        <w:jc w:val="both"/>
      </w:pPr>
      <w:r>
        <w:t>Assess compliance of proposed SCO models with ECHO financial and legal frameworks</w:t>
      </w:r>
      <w:r w:rsidR="333DB33E">
        <w:t>/teams</w:t>
      </w:r>
      <w:r>
        <w:t>.</w:t>
      </w:r>
    </w:p>
    <w:p w14:paraId="00E342F1" w14:textId="77777777" w:rsidR="00930CDB" w:rsidRPr="00930CDB" w:rsidRDefault="00930CDB" w:rsidP="00724A01">
      <w:pPr>
        <w:numPr>
          <w:ilvl w:val="0"/>
          <w:numId w:val="15"/>
        </w:numPr>
        <w:spacing w:after="0" w:line="240" w:lineRule="auto"/>
        <w:jc w:val="both"/>
      </w:pPr>
      <w:r w:rsidRPr="00930CDB">
        <w:t>Develop a draft FMG SOP detailing how FMG can be implemented using Simplified Cost Options while guaranteeing respect of ECHO regulations.</w:t>
      </w:r>
    </w:p>
    <w:p w14:paraId="298BD49E" w14:textId="30B1D0CD" w:rsidR="00930CDB" w:rsidRPr="00930CDB" w:rsidRDefault="00930CDB" w:rsidP="00724A01">
      <w:pPr>
        <w:numPr>
          <w:ilvl w:val="0"/>
          <w:numId w:val="15"/>
        </w:numPr>
        <w:spacing w:after="0" w:line="240" w:lineRule="auto"/>
        <w:jc w:val="both"/>
      </w:pPr>
      <w:r>
        <w:t>Support NRC’s strategic engagement with ECHO by providing clear, practical, and compliant SCO scenarios</w:t>
      </w:r>
      <w:r w:rsidR="7A0242ED">
        <w:t xml:space="preserve"> and language for the authorising decisions</w:t>
      </w:r>
      <w:r>
        <w:t>.</w:t>
      </w:r>
    </w:p>
    <w:p w14:paraId="74688CA9" w14:textId="36378355" w:rsidR="00930CDB" w:rsidRPr="00930CDB" w:rsidRDefault="00930CDB" w:rsidP="00930CDB">
      <w:pPr>
        <w:ind w:left="357" w:firstLine="352"/>
        <w:jc w:val="both"/>
        <w:rPr>
          <w:b/>
          <w:bCs/>
        </w:rPr>
      </w:pPr>
    </w:p>
    <w:p w14:paraId="69E91DE0" w14:textId="77777777" w:rsidR="00930CDB" w:rsidRPr="00930CDB" w:rsidRDefault="00930CDB" w:rsidP="008516CB">
      <w:pPr>
        <w:ind w:firstLine="709"/>
        <w:jc w:val="both"/>
        <w:rPr>
          <w:b/>
          <w:bCs/>
          <w:u w:val="single"/>
        </w:rPr>
      </w:pPr>
      <w:r w:rsidRPr="00930CDB">
        <w:rPr>
          <w:b/>
          <w:bCs/>
          <w:u w:val="single"/>
        </w:rPr>
        <w:t>3. Scope</w:t>
      </w:r>
    </w:p>
    <w:p w14:paraId="2F2C00F4" w14:textId="77777777" w:rsidR="00930CDB" w:rsidRPr="00930CDB" w:rsidRDefault="00930CDB" w:rsidP="00724A01">
      <w:pPr>
        <w:numPr>
          <w:ilvl w:val="0"/>
          <w:numId w:val="13"/>
        </w:numPr>
        <w:tabs>
          <w:tab w:val="clear" w:pos="720"/>
          <w:tab w:val="num" w:pos="1072"/>
        </w:tabs>
        <w:spacing w:after="0" w:line="240" w:lineRule="auto"/>
        <w:ind w:left="1066" w:hanging="357"/>
        <w:jc w:val="both"/>
        <w:rPr>
          <w:b/>
          <w:bCs/>
        </w:rPr>
      </w:pPr>
      <w:r w:rsidRPr="00930CDB">
        <w:rPr>
          <w:b/>
          <w:bCs/>
        </w:rPr>
        <w:t>Inclusions</w:t>
      </w:r>
    </w:p>
    <w:p w14:paraId="462D5DAB" w14:textId="77777777" w:rsidR="00930CDB" w:rsidRPr="00930CDB" w:rsidRDefault="00930CDB" w:rsidP="00724A01">
      <w:pPr>
        <w:numPr>
          <w:ilvl w:val="0"/>
          <w:numId w:val="7"/>
        </w:numPr>
        <w:tabs>
          <w:tab w:val="clear" w:pos="1072"/>
          <w:tab w:val="num" w:pos="1424"/>
        </w:tabs>
        <w:spacing w:after="0" w:line="240" w:lineRule="auto"/>
        <w:ind w:left="1424"/>
        <w:jc w:val="both"/>
      </w:pPr>
      <w:r w:rsidRPr="00930CDB">
        <w:t>Review of FMG financial implementation practices and cost structures.</w:t>
      </w:r>
    </w:p>
    <w:p w14:paraId="556F3878" w14:textId="77777777" w:rsidR="00930CDB" w:rsidRPr="00930CDB" w:rsidRDefault="00930CDB" w:rsidP="00724A01">
      <w:pPr>
        <w:numPr>
          <w:ilvl w:val="0"/>
          <w:numId w:val="7"/>
        </w:numPr>
        <w:tabs>
          <w:tab w:val="clear" w:pos="1072"/>
          <w:tab w:val="num" w:pos="1424"/>
        </w:tabs>
        <w:spacing w:after="0" w:line="240" w:lineRule="auto"/>
        <w:ind w:left="1424"/>
        <w:jc w:val="both"/>
      </w:pPr>
      <w:r w:rsidRPr="00930CDB">
        <w:t>Development of evidence supporting the feasibility and proportionality of Simplified Cost Options.</w:t>
      </w:r>
    </w:p>
    <w:p w14:paraId="26D63B26" w14:textId="77777777" w:rsidR="00930CDB" w:rsidRPr="00930CDB" w:rsidRDefault="00930CDB" w:rsidP="00724A01">
      <w:pPr>
        <w:numPr>
          <w:ilvl w:val="0"/>
          <w:numId w:val="7"/>
        </w:numPr>
        <w:tabs>
          <w:tab w:val="clear" w:pos="1072"/>
          <w:tab w:val="num" w:pos="1424"/>
        </w:tabs>
        <w:spacing w:after="0" w:line="240" w:lineRule="auto"/>
        <w:ind w:left="1424"/>
        <w:jc w:val="both"/>
      </w:pPr>
      <w:r w:rsidRPr="00930CDB">
        <w:t>Close collaboration with NRC Finance, Risk, and Partnerships teams.</w:t>
      </w:r>
    </w:p>
    <w:p w14:paraId="03A7D555" w14:textId="77777777" w:rsidR="00930CDB" w:rsidRPr="00930CDB" w:rsidRDefault="00930CDB" w:rsidP="00724A01">
      <w:pPr>
        <w:numPr>
          <w:ilvl w:val="0"/>
          <w:numId w:val="7"/>
        </w:numPr>
        <w:tabs>
          <w:tab w:val="clear" w:pos="1072"/>
          <w:tab w:val="num" w:pos="1424"/>
        </w:tabs>
        <w:spacing w:after="0" w:line="240" w:lineRule="auto"/>
        <w:ind w:left="1424"/>
        <w:jc w:val="both"/>
      </w:pPr>
      <w:r w:rsidRPr="00930CDB">
        <w:t>Legal and financial mapping against ECHO regulations related to SCOs.</w:t>
      </w:r>
    </w:p>
    <w:p w14:paraId="58AFDE04" w14:textId="77777777" w:rsidR="00930CDB" w:rsidRPr="00930CDB" w:rsidRDefault="00930CDB" w:rsidP="00724A01">
      <w:pPr>
        <w:numPr>
          <w:ilvl w:val="0"/>
          <w:numId w:val="7"/>
        </w:numPr>
        <w:tabs>
          <w:tab w:val="clear" w:pos="1072"/>
          <w:tab w:val="num" w:pos="1424"/>
        </w:tabs>
        <w:spacing w:after="0" w:line="240" w:lineRule="auto"/>
        <w:ind w:left="1424"/>
        <w:jc w:val="both"/>
      </w:pPr>
      <w:r w:rsidRPr="00930CDB">
        <w:lastRenderedPageBreak/>
        <w:t>Drafting of an FMG SOP for implementation using Simplified Cost Options.</w:t>
      </w:r>
    </w:p>
    <w:p w14:paraId="6DE52BDF" w14:textId="59EEB623" w:rsidR="00930CDB" w:rsidRPr="00930CDB" w:rsidRDefault="00930CDB" w:rsidP="00724A01">
      <w:pPr>
        <w:numPr>
          <w:ilvl w:val="0"/>
          <w:numId w:val="7"/>
        </w:numPr>
        <w:tabs>
          <w:tab w:val="clear" w:pos="1072"/>
          <w:tab w:val="num" w:pos="1424"/>
        </w:tabs>
        <w:spacing w:after="0" w:line="240" w:lineRule="auto"/>
        <w:ind w:left="1424"/>
        <w:jc w:val="both"/>
      </w:pPr>
      <w:r>
        <w:t>Iterative consultation with NRC</w:t>
      </w:r>
      <w:r w:rsidR="08D8F13F">
        <w:t xml:space="preserve"> and ECHO</w:t>
      </w:r>
      <w:r>
        <w:t xml:space="preserve"> stakeholders to validate findings and proposals.</w:t>
      </w:r>
    </w:p>
    <w:p w14:paraId="0BD103D9" w14:textId="77777777" w:rsidR="00930CDB" w:rsidRPr="00930CDB" w:rsidRDefault="00930CDB" w:rsidP="00724A01">
      <w:pPr>
        <w:numPr>
          <w:ilvl w:val="0"/>
          <w:numId w:val="13"/>
        </w:numPr>
        <w:tabs>
          <w:tab w:val="clear" w:pos="720"/>
          <w:tab w:val="num" w:pos="1072"/>
        </w:tabs>
        <w:spacing w:after="0" w:line="240" w:lineRule="auto"/>
        <w:ind w:left="1066" w:hanging="357"/>
        <w:jc w:val="both"/>
        <w:rPr>
          <w:b/>
          <w:bCs/>
        </w:rPr>
      </w:pPr>
      <w:r w:rsidRPr="00930CDB">
        <w:rPr>
          <w:b/>
          <w:bCs/>
        </w:rPr>
        <w:t>Exclusions</w:t>
      </w:r>
    </w:p>
    <w:p w14:paraId="6C8D5CCB" w14:textId="77777777" w:rsidR="00930CDB" w:rsidRPr="00930CDB" w:rsidRDefault="00930CDB" w:rsidP="00724A01">
      <w:pPr>
        <w:numPr>
          <w:ilvl w:val="0"/>
          <w:numId w:val="7"/>
        </w:numPr>
        <w:tabs>
          <w:tab w:val="clear" w:pos="1072"/>
          <w:tab w:val="num" w:pos="1424"/>
        </w:tabs>
        <w:spacing w:after="0" w:line="240" w:lineRule="auto"/>
        <w:ind w:left="1424"/>
        <w:jc w:val="both"/>
      </w:pPr>
      <w:r w:rsidRPr="00930CDB">
        <w:t>External audit of FMG grants.</w:t>
      </w:r>
    </w:p>
    <w:p w14:paraId="062DC419" w14:textId="77777777" w:rsidR="00930CDB" w:rsidRPr="00930CDB" w:rsidRDefault="00930CDB" w:rsidP="00724A01">
      <w:pPr>
        <w:numPr>
          <w:ilvl w:val="0"/>
          <w:numId w:val="7"/>
        </w:numPr>
        <w:tabs>
          <w:tab w:val="clear" w:pos="1072"/>
          <w:tab w:val="num" w:pos="1424"/>
        </w:tabs>
        <w:spacing w:after="0" w:line="240" w:lineRule="auto"/>
        <w:ind w:left="1424"/>
        <w:jc w:val="both"/>
      </w:pPr>
      <w:r w:rsidRPr="00930CDB">
        <w:t>Evaluation of programmatic outcomes or impact of FMG-funded activities.</w:t>
      </w:r>
    </w:p>
    <w:p w14:paraId="24C8995F" w14:textId="77777777" w:rsidR="00930CDB" w:rsidRPr="00930CDB" w:rsidRDefault="00930CDB" w:rsidP="00724A01">
      <w:pPr>
        <w:numPr>
          <w:ilvl w:val="0"/>
          <w:numId w:val="7"/>
        </w:numPr>
        <w:tabs>
          <w:tab w:val="clear" w:pos="1072"/>
          <w:tab w:val="num" w:pos="1424"/>
        </w:tabs>
        <w:spacing w:after="0" w:line="240" w:lineRule="auto"/>
        <w:ind w:left="1424"/>
        <w:jc w:val="both"/>
      </w:pPr>
      <w:r w:rsidRPr="00930CDB">
        <w:t>Negotiation with ECHO on behalf of NRC (supporting technical inputs only).</w:t>
      </w:r>
    </w:p>
    <w:p w14:paraId="3EB0A462" w14:textId="0AB61D63" w:rsidR="00930CDB" w:rsidRPr="00930CDB" w:rsidRDefault="00930CDB" w:rsidP="00930CDB">
      <w:pPr>
        <w:ind w:left="357" w:firstLine="352"/>
        <w:jc w:val="both"/>
        <w:rPr>
          <w:b/>
          <w:bCs/>
        </w:rPr>
      </w:pPr>
    </w:p>
    <w:p w14:paraId="199F1966" w14:textId="77777777" w:rsidR="00930CDB" w:rsidRPr="00930CDB" w:rsidRDefault="00930CDB" w:rsidP="008516CB">
      <w:pPr>
        <w:ind w:firstLine="709"/>
        <w:jc w:val="both"/>
        <w:rPr>
          <w:b/>
          <w:bCs/>
          <w:u w:val="single"/>
        </w:rPr>
      </w:pPr>
      <w:r w:rsidRPr="00930CDB">
        <w:rPr>
          <w:b/>
          <w:bCs/>
          <w:u w:val="single"/>
        </w:rPr>
        <w:t>4. Stakeholders</w:t>
      </w:r>
    </w:p>
    <w:p w14:paraId="55F3C180" w14:textId="77777777" w:rsidR="00930CDB" w:rsidRPr="00930CDB" w:rsidRDefault="00930CDB" w:rsidP="00724A01">
      <w:pPr>
        <w:numPr>
          <w:ilvl w:val="0"/>
          <w:numId w:val="16"/>
        </w:numPr>
        <w:tabs>
          <w:tab w:val="clear" w:pos="720"/>
          <w:tab w:val="num" w:pos="1069"/>
        </w:tabs>
        <w:spacing w:after="0" w:line="240" w:lineRule="auto"/>
        <w:ind w:left="1069"/>
        <w:jc w:val="both"/>
      </w:pPr>
      <w:r w:rsidRPr="00930CDB">
        <w:t>Consultant</w:t>
      </w:r>
    </w:p>
    <w:p w14:paraId="03532BDD" w14:textId="77777777" w:rsidR="00930CDB" w:rsidRPr="00930CDB" w:rsidRDefault="00930CDB" w:rsidP="00724A01">
      <w:pPr>
        <w:numPr>
          <w:ilvl w:val="0"/>
          <w:numId w:val="16"/>
        </w:numPr>
        <w:tabs>
          <w:tab w:val="clear" w:pos="720"/>
          <w:tab w:val="num" w:pos="1069"/>
        </w:tabs>
        <w:spacing w:after="0" w:line="240" w:lineRule="auto"/>
        <w:ind w:left="1069"/>
        <w:jc w:val="both"/>
      </w:pPr>
      <w:r w:rsidRPr="00930CDB">
        <w:t>NRC Head Office:</w:t>
      </w:r>
    </w:p>
    <w:p w14:paraId="28C66107" w14:textId="3D630C60" w:rsidR="00930CDB" w:rsidRDefault="00930CDB" w:rsidP="00724A01">
      <w:pPr>
        <w:numPr>
          <w:ilvl w:val="1"/>
          <w:numId w:val="16"/>
        </w:numPr>
        <w:tabs>
          <w:tab w:val="clear" w:pos="1440"/>
          <w:tab w:val="num" w:pos="1789"/>
        </w:tabs>
        <w:spacing w:after="0" w:line="240" w:lineRule="auto"/>
        <w:ind w:left="1783" w:hanging="357"/>
        <w:jc w:val="both"/>
      </w:pPr>
      <w:r>
        <w:t xml:space="preserve">Global Local Actors </w:t>
      </w:r>
      <w:r w:rsidR="00F208C4">
        <w:t xml:space="preserve">Lead </w:t>
      </w:r>
      <w:r>
        <w:t>(project lead)</w:t>
      </w:r>
    </w:p>
    <w:p w14:paraId="11CAA566" w14:textId="471595F0" w:rsidR="00F208C4" w:rsidRPr="00930CDB" w:rsidRDefault="00F208C4" w:rsidP="00724A01">
      <w:pPr>
        <w:numPr>
          <w:ilvl w:val="1"/>
          <w:numId w:val="16"/>
        </w:numPr>
        <w:tabs>
          <w:tab w:val="clear" w:pos="1440"/>
          <w:tab w:val="num" w:pos="1789"/>
        </w:tabs>
        <w:spacing w:after="0" w:line="240" w:lineRule="auto"/>
        <w:ind w:left="1783" w:hanging="357"/>
        <w:jc w:val="both"/>
      </w:pPr>
      <w:r>
        <w:t>Global Local Actors Advisor for Colombia</w:t>
      </w:r>
    </w:p>
    <w:p w14:paraId="5D8515AC" w14:textId="77777777" w:rsidR="00930CDB" w:rsidRPr="00930CDB" w:rsidRDefault="00930CDB" w:rsidP="00724A01">
      <w:pPr>
        <w:numPr>
          <w:ilvl w:val="1"/>
          <w:numId w:val="16"/>
        </w:numPr>
        <w:tabs>
          <w:tab w:val="clear" w:pos="1440"/>
          <w:tab w:val="num" w:pos="1789"/>
        </w:tabs>
        <w:spacing w:after="0" w:line="240" w:lineRule="auto"/>
        <w:ind w:left="1783" w:hanging="357"/>
        <w:jc w:val="both"/>
      </w:pPr>
      <w:r w:rsidRPr="00930CDB">
        <w:t>Global Finance and Risk Teams</w:t>
      </w:r>
    </w:p>
    <w:p w14:paraId="6BC7E58E" w14:textId="52078CDD" w:rsidR="5B876F83" w:rsidRDefault="5B876F83" w:rsidP="00724A01">
      <w:pPr>
        <w:numPr>
          <w:ilvl w:val="1"/>
          <w:numId w:val="16"/>
        </w:numPr>
        <w:tabs>
          <w:tab w:val="clear" w:pos="1440"/>
          <w:tab w:val="num" w:pos="1789"/>
        </w:tabs>
        <w:spacing w:after="0" w:line="240" w:lineRule="auto"/>
        <w:ind w:left="1783" w:hanging="357"/>
        <w:jc w:val="both"/>
      </w:pPr>
      <w:r>
        <w:t>Global Lead Cash and Markets</w:t>
      </w:r>
    </w:p>
    <w:p w14:paraId="559D46F1" w14:textId="77777777" w:rsidR="00930CDB" w:rsidRPr="00930CDB" w:rsidRDefault="00930CDB" w:rsidP="00724A01">
      <w:pPr>
        <w:numPr>
          <w:ilvl w:val="1"/>
          <w:numId w:val="16"/>
        </w:numPr>
        <w:tabs>
          <w:tab w:val="clear" w:pos="1440"/>
          <w:tab w:val="num" w:pos="1789"/>
        </w:tabs>
        <w:spacing w:after="0" w:line="240" w:lineRule="auto"/>
        <w:ind w:left="1783" w:hanging="357"/>
        <w:jc w:val="both"/>
      </w:pPr>
      <w:r w:rsidRPr="00930CDB">
        <w:t>EU Partnerships Advisors</w:t>
      </w:r>
    </w:p>
    <w:p w14:paraId="0DB77521" w14:textId="77777777" w:rsidR="00930CDB" w:rsidRDefault="00930CDB" w:rsidP="00724A01">
      <w:pPr>
        <w:numPr>
          <w:ilvl w:val="0"/>
          <w:numId w:val="16"/>
        </w:numPr>
        <w:tabs>
          <w:tab w:val="clear" w:pos="720"/>
          <w:tab w:val="num" w:pos="1069"/>
        </w:tabs>
        <w:spacing w:after="0" w:line="240" w:lineRule="auto"/>
        <w:ind w:left="1069"/>
        <w:jc w:val="both"/>
      </w:pPr>
      <w:r w:rsidRPr="00930CDB">
        <w:t>NRC Country Offices piloting or planning FMG implementation</w:t>
      </w:r>
    </w:p>
    <w:p w14:paraId="245EDECA" w14:textId="77777777" w:rsidR="00647866" w:rsidRPr="00930CDB" w:rsidRDefault="00647866" w:rsidP="00647866">
      <w:pPr>
        <w:spacing w:after="0" w:line="240" w:lineRule="auto"/>
        <w:ind w:left="1069"/>
        <w:jc w:val="both"/>
      </w:pPr>
    </w:p>
    <w:p w14:paraId="521523D7" w14:textId="77777777" w:rsidR="00930CDB" w:rsidRPr="00930CDB" w:rsidRDefault="00930CDB" w:rsidP="00647866">
      <w:pPr>
        <w:spacing w:after="0" w:line="240" w:lineRule="auto"/>
        <w:ind w:firstLine="709"/>
        <w:jc w:val="both"/>
        <w:rPr>
          <w:b/>
          <w:bCs/>
          <w:u w:val="single"/>
        </w:rPr>
      </w:pPr>
      <w:r w:rsidRPr="00930CDB">
        <w:rPr>
          <w:b/>
          <w:bCs/>
          <w:u w:val="single"/>
        </w:rPr>
        <w:t>Roles and Responsibilities</w:t>
      </w:r>
    </w:p>
    <w:p w14:paraId="100CD96F" w14:textId="77777777" w:rsidR="00930CDB" w:rsidRPr="00930CDB" w:rsidRDefault="00930CDB" w:rsidP="00724A01">
      <w:pPr>
        <w:numPr>
          <w:ilvl w:val="0"/>
          <w:numId w:val="10"/>
        </w:numPr>
        <w:tabs>
          <w:tab w:val="clear" w:pos="720"/>
          <w:tab w:val="num" w:pos="1069"/>
        </w:tabs>
        <w:spacing w:after="0" w:line="240" w:lineRule="auto"/>
        <w:ind w:left="1069"/>
        <w:jc w:val="both"/>
      </w:pPr>
      <w:r w:rsidRPr="00930CDB">
        <w:t>Consultant:</w:t>
      </w:r>
    </w:p>
    <w:p w14:paraId="57FE2122" w14:textId="77777777" w:rsidR="00930CDB" w:rsidRPr="00930CDB" w:rsidRDefault="00930CDB" w:rsidP="00724A01">
      <w:pPr>
        <w:numPr>
          <w:ilvl w:val="1"/>
          <w:numId w:val="10"/>
        </w:numPr>
        <w:tabs>
          <w:tab w:val="clear" w:pos="1440"/>
          <w:tab w:val="num" w:pos="1789"/>
        </w:tabs>
        <w:spacing w:after="0" w:line="240" w:lineRule="auto"/>
        <w:ind w:left="1789"/>
        <w:jc w:val="both"/>
      </w:pPr>
      <w:r w:rsidRPr="00930CDB">
        <w:t>Leads the financial analysis and SCO development work.</w:t>
      </w:r>
    </w:p>
    <w:p w14:paraId="4B49FCD4" w14:textId="77777777" w:rsidR="00930CDB" w:rsidRPr="00930CDB" w:rsidRDefault="00930CDB" w:rsidP="00724A01">
      <w:pPr>
        <w:numPr>
          <w:ilvl w:val="1"/>
          <w:numId w:val="10"/>
        </w:numPr>
        <w:tabs>
          <w:tab w:val="clear" w:pos="1440"/>
          <w:tab w:val="num" w:pos="1789"/>
        </w:tabs>
        <w:spacing w:after="0" w:line="240" w:lineRule="auto"/>
        <w:ind w:left="1789"/>
        <w:jc w:val="both"/>
      </w:pPr>
      <w:r w:rsidRPr="00930CDB">
        <w:t>Builds evidence in collaboration with NRC Finance teams.</w:t>
      </w:r>
    </w:p>
    <w:p w14:paraId="707524EF" w14:textId="77777777" w:rsidR="00930CDB" w:rsidRPr="00930CDB" w:rsidRDefault="00930CDB" w:rsidP="00724A01">
      <w:pPr>
        <w:numPr>
          <w:ilvl w:val="1"/>
          <w:numId w:val="10"/>
        </w:numPr>
        <w:tabs>
          <w:tab w:val="clear" w:pos="1440"/>
          <w:tab w:val="num" w:pos="1789"/>
        </w:tabs>
        <w:spacing w:after="0" w:line="240" w:lineRule="auto"/>
        <w:ind w:left="1789"/>
        <w:jc w:val="both"/>
      </w:pPr>
      <w:r w:rsidRPr="00930CDB">
        <w:t>Drafts the FMG SCO-based SOP ensuring ECHO compliance.</w:t>
      </w:r>
    </w:p>
    <w:p w14:paraId="5916CF72" w14:textId="77777777" w:rsidR="00930CDB" w:rsidRPr="00930CDB" w:rsidRDefault="00930CDB" w:rsidP="00724A01">
      <w:pPr>
        <w:numPr>
          <w:ilvl w:val="0"/>
          <w:numId w:val="10"/>
        </w:numPr>
        <w:tabs>
          <w:tab w:val="clear" w:pos="720"/>
          <w:tab w:val="num" w:pos="1069"/>
        </w:tabs>
        <w:spacing w:after="0" w:line="240" w:lineRule="auto"/>
        <w:ind w:left="1069"/>
        <w:jc w:val="both"/>
      </w:pPr>
      <w:r w:rsidRPr="00930CDB">
        <w:t>Project Lead (NRC):</w:t>
      </w:r>
    </w:p>
    <w:p w14:paraId="5BFE11E8" w14:textId="50A3972E" w:rsidR="48932F0A" w:rsidRDefault="00930CDB" w:rsidP="00724A01">
      <w:pPr>
        <w:numPr>
          <w:ilvl w:val="1"/>
          <w:numId w:val="10"/>
        </w:numPr>
        <w:tabs>
          <w:tab w:val="clear" w:pos="1440"/>
          <w:tab w:val="num" w:pos="1789"/>
        </w:tabs>
        <w:spacing w:after="0" w:line="240" w:lineRule="auto"/>
        <w:ind w:left="1789"/>
        <w:jc w:val="both"/>
      </w:pPr>
      <w:r>
        <w:t>Oversees the consultancy, coordinates internal inputs, and ensures strategic coherence</w:t>
      </w:r>
      <w:r w:rsidR="00E951DD">
        <w:t xml:space="preserve">, including with </w:t>
      </w:r>
      <w:r w:rsidR="48932F0A">
        <w:t>Global Lead Cash and Markets (NRC):</w:t>
      </w:r>
    </w:p>
    <w:p w14:paraId="1849BCE0" w14:textId="00FAD87B" w:rsidR="48932F0A" w:rsidRDefault="48932F0A" w:rsidP="003092AF">
      <w:pPr>
        <w:tabs>
          <w:tab w:val="num" w:pos="1789"/>
        </w:tabs>
        <w:spacing w:after="0" w:line="240" w:lineRule="auto"/>
        <w:ind w:left="709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23E949BB" w14:textId="334A97FC" w:rsidR="00930CDB" w:rsidRPr="00930CDB" w:rsidRDefault="00930CDB" w:rsidP="00724A01">
      <w:pPr>
        <w:numPr>
          <w:ilvl w:val="0"/>
          <w:numId w:val="10"/>
        </w:numPr>
        <w:tabs>
          <w:tab w:val="clear" w:pos="720"/>
          <w:tab w:val="num" w:pos="1069"/>
        </w:tabs>
        <w:spacing w:after="0" w:line="240" w:lineRule="auto"/>
        <w:ind w:left="1069"/>
        <w:jc w:val="both"/>
      </w:pPr>
      <w:r w:rsidRPr="00930CDB">
        <w:t>Finance and Risk Teams:</w:t>
      </w:r>
    </w:p>
    <w:p w14:paraId="47BE5C3B" w14:textId="77777777" w:rsidR="00930CDB" w:rsidRPr="00930CDB" w:rsidRDefault="00930CDB" w:rsidP="00724A01">
      <w:pPr>
        <w:numPr>
          <w:ilvl w:val="1"/>
          <w:numId w:val="10"/>
        </w:numPr>
        <w:tabs>
          <w:tab w:val="clear" w:pos="1440"/>
          <w:tab w:val="num" w:pos="1789"/>
        </w:tabs>
        <w:spacing w:after="0" w:line="240" w:lineRule="auto"/>
        <w:ind w:left="1789"/>
        <w:jc w:val="both"/>
      </w:pPr>
      <w:r w:rsidRPr="00930CDB">
        <w:t>Provide technical guidance, financial data, and validation of SCO assumptions.</w:t>
      </w:r>
    </w:p>
    <w:p w14:paraId="6CE52058" w14:textId="77777777" w:rsidR="00930CDB" w:rsidRPr="00930CDB" w:rsidRDefault="00930CDB" w:rsidP="00724A01">
      <w:pPr>
        <w:numPr>
          <w:ilvl w:val="0"/>
          <w:numId w:val="10"/>
        </w:numPr>
        <w:tabs>
          <w:tab w:val="clear" w:pos="720"/>
          <w:tab w:val="num" w:pos="1069"/>
        </w:tabs>
        <w:spacing w:after="0" w:line="240" w:lineRule="auto"/>
        <w:ind w:left="1069"/>
        <w:jc w:val="both"/>
      </w:pPr>
      <w:r w:rsidRPr="00930CDB">
        <w:t>EU Partnerships Advisors:</w:t>
      </w:r>
    </w:p>
    <w:p w14:paraId="2D16B2CD" w14:textId="77777777" w:rsidR="00930CDB" w:rsidRPr="00930CDB" w:rsidRDefault="00930CDB" w:rsidP="00724A01">
      <w:pPr>
        <w:numPr>
          <w:ilvl w:val="1"/>
          <w:numId w:val="10"/>
        </w:numPr>
        <w:tabs>
          <w:tab w:val="clear" w:pos="1440"/>
          <w:tab w:val="num" w:pos="1789"/>
        </w:tabs>
        <w:spacing w:after="0" w:line="240" w:lineRule="auto"/>
        <w:ind w:left="1789"/>
        <w:jc w:val="both"/>
      </w:pPr>
      <w:r w:rsidRPr="00930CDB">
        <w:t>Support alignment with ECHO requirements and engagement strategy.</w:t>
      </w:r>
    </w:p>
    <w:p w14:paraId="5AD62C6D" w14:textId="327967C8" w:rsidR="00930CDB" w:rsidRPr="00930CDB" w:rsidRDefault="00930CDB" w:rsidP="00724A01">
      <w:pPr>
        <w:numPr>
          <w:ilvl w:val="0"/>
          <w:numId w:val="10"/>
        </w:numPr>
        <w:tabs>
          <w:tab w:val="clear" w:pos="720"/>
          <w:tab w:val="num" w:pos="1069"/>
        </w:tabs>
        <w:spacing w:after="0" w:line="240" w:lineRule="auto"/>
        <w:ind w:left="1069"/>
        <w:jc w:val="both"/>
      </w:pPr>
      <w:r w:rsidRPr="00930CDB">
        <w:t>Country Office:</w:t>
      </w:r>
    </w:p>
    <w:p w14:paraId="65733626" w14:textId="55D8645C" w:rsidR="00930CDB" w:rsidRPr="00930CDB" w:rsidRDefault="00930CDB" w:rsidP="00724A01">
      <w:pPr>
        <w:numPr>
          <w:ilvl w:val="1"/>
          <w:numId w:val="10"/>
        </w:numPr>
        <w:tabs>
          <w:tab w:val="clear" w:pos="1440"/>
          <w:tab w:val="num" w:pos="1789"/>
        </w:tabs>
        <w:spacing w:after="0" w:line="240" w:lineRule="auto"/>
        <w:ind w:left="1789"/>
        <w:jc w:val="both"/>
      </w:pPr>
      <w:r>
        <w:t>Provide operational insights on FMG financial implementation and feasibility</w:t>
      </w:r>
      <w:r w:rsidR="4C955096">
        <w:t>, including list of partners and potential activities to be covered as a SCO</w:t>
      </w:r>
      <w:r>
        <w:t>.</w:t>
      </w:r>
    </w:p>
    <w:p w14:paraId="0FF146DE" w14:textId="079219B6" w:rsidR="00930CDB" w:rsidRPr="00930CDB" w:rsidRDefault="00930CDB" w:rsidP="00930CDB">
      <w:pPr>
        <w:ind w:left="357" w:firstLine="352"/>
        <w:jc w:val="both"/>
        <w:rPr>
          <w:b/>
          <w:bCs/>
        </w:rPr>
      </w:pPr>
    </w:p>
    <w:p w14:paraId="36387E2D" w14:textId="77777777" w:rsidR="00930CDB" w:rsidRPr="00930CDB" w:rsidRDefault="00930CDB" w:rsidP="008516CB">
      <w:pPr>
        <w:ind w:firstLine="709"/>
        <w:jc w:val="both"/>
        <w:rPr>
          <w:b/>
          <w:bCs/>
          <w:u w:val="single"/>
        </w:rPr>
      </w:pPr>
      <w:r w:rsidRPr="00930CDB">
        <w:rPr>
          <w:b/>
          <w:bCs/>
          <w:u w:val="single"/>
        </w:rPr>
        <w:t>5. Methodology</w:t>
      </w:r>
    </w:p>
    <w:p w14:paraId="304D61C9" w14:textId="77777777" w:rsidR="00930CDB" w:rsidRPr="00930CDB" w:rsidRDefault="00930CDB" w:rsidP="005D2451">
      <w:pPr>
        <w:spacing w:after="0" w:line="240" w:lineRule="auto"/>
        <w:ind w:left="714"/>
        <w:jc w:val="both"/>
        <w:rPr>
          <w:b/>
          <w:bCs/>
          <w:u w:val="single"/>
        </w:rPr>
      </w:pPr>
      <w:r w:rsidRPr="00930CDB">
        <w:rPr>
          <w:b/>
          <w:bCs/>
          <w:u w:val="single"/>
        </w:rPr>
        <w:t>Approach</w:t>
      </w:r>
    </w:p>
    <w:p w14:paraId="23AD22E7" w14:textId="77777777" w:rsidR="00930CDB" w:rsidRPr="00930CDB" w:rsidRDefault="00930CDB" w:rsidP="00724A01">
      <w:pPr>
        <w:numPr>
          <w:ilvl w:val="0"/>
          <w:numId w:val="18"/>
        </w:numPr>
        <w:spacing w:after="0" w:line="240" w:lineRule="auto"/>
        <w:ind w:left="1066" w:hanging="357"/>
        <w:jc w:val="both"/>
      </w:pPr>
      <w:r w:rsidRPr="00930CDB">
        <w:t>Desk review of FMG financial documentation, cost structures, and existing SOPs.</w:t>
      </w:r>
    </w:p>
    <w:p w14:paraId="4420CB50" w14:textId="77777777" w:rsidR="00930CDB" w:rsidRPr="00930CDB" w:rsidRDefault="00930CDB" w:rsidP="00724A01">
      <w:pPr>
        <w:numPr>
          <w:ilvl w:val="0"/>
          <w:numId w:val="18"/>
        </w:numPr>
        <w:spacing w:after="0" w:line="240" w:lineRule="auto"/>
        <w:ind w:left="1066" w:hanging="357"/>
        <w:jc w:val="both"/>
      </w:pPr>
      <w:r>
        <w:t>Review of ECHO financial and legal frameworks relevant to Simplified Cost Options (e.g. Financial Regulation, MGA/AGA, guidance on SCOs).</w:t>
      </w:r>
    </w:p>
    <w:p w14:paraId="4153DB73" w14:textId="0433C6D6" w:rsidR="07A189F4" w:rsidRDefault="07A189F4" w:rsidP="00724A01">
      <w:pPr>
        <w:numPr>
          <w:ilvl w:val="0"/>
          <w:numId w:val="18"/>
        </w:numPr>
        <w:spacing w:after="0" w:line="240" w:lineRule="auto"/>
        <w:ind w:left="1066" w:hanging="357"/>
        <w:jc w:val="both"/>
      </w:pPr>
      <w:r>
        <w:t>Review of existing authorising decisions for SCOs within the Commission for similar funding schemes.</w:t>
      </w:r>
    </w:p>
    <w:p w14:paraId="39249C45" w14:textId="77777777" w:rsidR="00930CDB" w:rsidRPr="00930CDB" w:rsidRDefault="00930CDB" w:rsidP="00724A01">
      <w:pPr>
        <w:numPr>
          <w:ilvl w:val="0"/>
          <w:numId w:val="18"/>
        </w:numPr>
        <w:spacing w:after="0" w:line="240" w:lineRule="auto"/>
        <w:ind w:left="1066" w:hanging="357"/>
        <w:jc w:val="both"/>
      </w:pPr>
      <w:r w:rsidRPr="00930CDB">
        <w:t>Technical working sessions with NRC Finance and Risk teams to design SCO models.</w:t>
      </w:r>
    </w:p>
    <w:p w14:paraId="4C8BE599" w14:textId="40BE8B67" w:rsidR="00930CDB" w:rsidRPr="00930CDB" w:rsidRDefault="00930CDB" w:rsidP="00724A01">
      <w:pPr>
        <w:numPr>
          <w:ilvl w:val="0"/>
          <w:numId w:val="18"/>
        </w:numPr>
        <w:spacing w:after="0" w:line="240" w:lineRule="auto"/>
        <w:ind w:left="1066" w:hanging="357"/>
        <w:jc w:val="both"/>
      </w:pPr>
      <w:r>
        <w:t xml:space="preserve">Validation discussions with relevant NRC </w:t>
      </w:r>
      <w:r w:rsidR="29208D87">
        <w:t xml:space="preserve">and ECHO </w:t>
      </w:r>
      <w:r>
        <w:t>stakeholders.</w:t>
      </w:r>
    </w:p>
    <w:p w14:paraId="0922D33F" w14:textId="77777777" w:rsidR="005D2451" w:rsidRDefault="005D2451" w:rsidP="005D2451">
      <w:pPr>
        <w:spacing w:after="0" w:line="240" w:lineRule="auto"/>
        <w:ind w:left="714"/>
        <w:jc w:val="both"/>
        <w:rPr>
          <w:b/>
          <w:bCs/>
          <w:u w:val="single"/>
        </w:rPr>
      </w:pPr>
    </w:p>
    <w:p w14:paraId="2DF3F2F4" w14:textId="15E4E49B" w:rsidR="00930CDB" w:rsidRPr="00930CDB" w:rsidRDefault="00930CDB" w:rsidP="005D2451">
      <w:pPr>
        <w:spacing w:after="0" w:line="240" w:lineRule="auto"/>
        <w:ind w:left="714"/>
        <w:jc w:val="both"/>
        <w:rPr>
          <w:b/>
          <w:bCs/>
          <w:u w:val="single"/>
        </w:rPr>
      </w:pPr>
      <w:r w:rsidRPr="00930CDB">
        <w:rPr>
          <w:b/>
          <w:bCs/>
          <w:u w:val="single"/>
        </w:rPr>
        <w:t>Tools and Resources</w:t>
      </w:r>
    </w:p>
    <w:p w14:paraId="02BC425A" w14:textId="77777777" w:rsidR="00930CDB" w:rsidRPr="00930CDB" w:rsidRDefault="00930CDB" w:rsidP="00724A01">
      <w:pPr>
        <w:numPr>
          <w:ilvl w:val="0"/>
          <w:numId w:val="18"/>
        </w:numPr>
        <w:spacing w:after="0" w:line="240" w:lineRule="auto"/>
        <w:ind w:left="1066" w:hanging="357"/>
        <w:jc w:val="both"/>
      </w:pPr>
      <w:r w:rsidRPr="00930CDB">
        <w:t>Internal financial data and FMG documentation.</w:t>
      </w:r>
    </w:p>
    <w:p w14:paraId="0B4A23A8" w14:textId="77777777" w:rsidR="00930CDB" w:rsidRPr="00930CDB" w:rsidRDefault="00930CDB" w:rsidP="00724A01">
      <w:pPr>
        <w:numPr>
          <w:ilvl w:val="0"/>
          <w:numId w:val="18"/>
        </w:numPr>
        <w:spacing w:after="0" w:line="240" w:lineRule="auto"/>
        <w:ind w:left="1066" w:hanging="357"/>
        <w:jc w:val="both"/>
      </w:pPr>
      <w:r w:rsidRPr="00930CDB">
        <w:t>ECHO legal and financial texts.</w:t>
      </w:r>
    </w:p>
    <w:p w14:paraId="364696E9" w14:textId="77777777" w:rsidR="00930CDB" w:rsidRPr="00930CDB" w:rsidRDefault="00930CDB" w:rsidP="00724A01">
      <w:pPr>
        <w:numPr>
          <w:ilvl w:val="0"/>
          <w:numId w:val="18"/>
        </w:numPr>
        <w:spacing w:after="0" w:line="240" w:lineRule="auto"/>
        <w:ind w:left="1066" w:hanging="357"/>
        <w:jc w:val="both"/>
      </w:pPr>
      <w:r w:rsidRPr="00930CDB">
        <w:t>Dedicated time from NRC Finance, Risk, and Partnerships teams.</w:t>
      </w:r>
    </w:p>
    <w:p w14:paraId="4D183FED" w14:textId="5F1F93FD" w:rsidR="00930CDB" w:rsidRPr="00930CDB" w:rsidRDefault="00930CDB" w:rsidP="00930CDB">
      <w:pPr>
        <w:ind w:left="357" w:firstLine="352"/>
        <w:jc w:val="both"/>
        <w:rPr>
          <w:b/>
          <w:bCs/>
        </w:rPr>
      </w:pPr>
    </w:p>
    <w:p w14:paraId="3659491B" w14:textId="40BB456C" w:rsidR="00930CDB" w:rsidRPr="00930CDB" w:rsidRDefault="00930CDB" w:rsidP="008516CB">
      <w:pPr>
        <w:ind w:firstLine="709"/>
        <w:jc w:val="both"/>
        <w:rPr>
          <w:b/>
          <w:bCs/>
          <w:u w:val="single"/>
        </w:rPr>
      </w:pPr>
      <w:r w:rsidRPr="00930CDB">
        <w:rPr>
          <w:b/>
          <w:bCs/>
          <w:u w:val="single"/>
        </w:rPr>
        <w:t xml:space="preserve">6. </w:t>
      </w:r>
      <w:r w:rsidR="00612446">
        <w:rPr>
          <w:b/>
          <w:bCs/>
          <w:u w:val="single"/>
        </w:rPr>
        <w:t xml:space="preserve">Administrative </w:t>
      </w:r>
      <w:r w:rsidRPr="00930CDB">
        <w:rPr>
          <w:b/>
          <w:bCs/>
          <w:u w:val="single"/>
        </w:rPr>
        <w:t xml:space="preserve">/ </w:t>
      </w:r>
      <w:r w:rsidR="00612446">
        <w:rPr>
          <w:b/>
          <w:bCs/>
          <w:u w:val="single"/>
        </w:rPr>
        <w:t xml:space="preserve">Financial aspects </w:t>
      </w:r>
    </w:p>
    <w:p w14:paraId="1A565AC4" w14:textId="6A2B51B5" w:rsidR="00930CDB" w:rsidRPr="00930CDB" w:rsidRDefault="00930CDB" w:rsidP="00724A01">
      <w:pPr>
        <w:numPr>
          <w:ilvl w:val="0"/>
          <w:numId w:val="18"/>
        </w:numPr>
        <w:spacing w:after="0" w:line="240" w:lineRule="auto"/>
        <w:ind w:left="1066" w:hanging="357"/>
        <w:jc w:val="both"/>
      </w:pPr>
      <w:r w:rsidRPr="00930CDB">
        <w:t xml:space="preserve">Estimated working days: </w:t>
      </w:r>
      <w:r w:rsidR="2AC3DB64">
        <w:t>80-</w:t>
      </w:r>
      <w:r w:rsidRPr="00930CDB">
        <w:t>100</w:t>
      </w:r>
    </w:p>
    <w:p w14:paraId="7DE4CF64" w14:textId="77777777" w:rsidR="00930CDB" w:rsidRPr="00930CDB" w:rsidRDefault="00930CDB" w:rsidP="00724A01">
      <w:pPr>
        <w:numPr>
          <w:ilvl w:val="0"/>
          <w:numId w:val="18"/>
        </w:numPr>
        <w:spacing w:after="0" w:line="240" w:lineRule="auto"/>
        <w:ind w:left="1066" w:hanging="357"/>
        <w:jc w:val="both"/>
      </w:pPr>
      <w:r w:rsidRPr="00930CDB">
        <w:t>Duration: Flexible, up to 10 months</w:t>
      </w:r>
    </w:p>
    <w:p w14:paraId="4DF52663" w14:textId="42FF79B8" w:rsidR="00930CDB" w:rsidRPr="00930CDB" w:rsidRDefault="00930CDB" w:rsidP="00724A01">
      <w:pPr>
        <w:numPr>
          <w:ilvl w:val="0"/>
          <w:numId w:val="18"/>
        </w:numPr>
        <w:spacing w:after="0" w:line="240" w:lineRule="auto"/>
        <w:ind w:left="1066" w:hanging="357"/>
        <w:jc w:val="both"/>
      </w:pPr>
      <w:r w:rsidRPr="00930CDB">
        <w:t xml:space="preserve">Start date: </w:t>
      </w:r>
      <w:r w:rsidR="00CA2112">
        <w:t>April</w:t>
      </w:r>
      <w:r w:rsidRPr="00930CDB">
        <w:t xml:space="preserve"> 2026</w:t>
      </w:r>
    </w:p>
    <w:p w14:paraId="205AAFDE" w14:textId="50ED9615" w:rsidR="00930CDB" w:rsidRDefault="00D63E97" w:rsidP="00CA2112">
      <w:pPr>
        <w:numPr>
          <w:ilvl w:val="0"/>
          <w:numId w:val="18"/>
        </w:numPr>
        <w:spacing w:after="0" w:line="240" w:lineRule="auto"/>
        <w:ind w:left="1066" w:hanging="357"/>
        <w:jc w:val="both"/>
      </w:pPr>
      <w:r w:rsidRPr="00D63E97">
        <w:lastRenderedPageBreak/>
        <w:t>The financial proposal must include all applicable taxes, fees, and any other related costs</w:t>
      </w:r>
      <w:r>
        <w:t xml:space="preserve">. </w:t>
      </w:r>
      <w:r w:rsidRPr="00D63E97">
        <w:t>No additional costs will be covered beyond the agreed contract amount.</w:t>
      </w:r>
    </w:p>
    <w:p w14:paraId="0B621C48" w14:textId="77777777" w:rsidR="003A4F3A" w:rsidRDefault="003A4F3A" w:rsidP="48205C63">
      <w:pPr>
        <w:spacing w:after="0" w:line="240" w:lineRule="auto"/>
        <w:ind w:left="1066" w:hanging="357"/>
        <w:jc w:val="both"/>
      </w:pPr>
    </w:p>
    <w:p w14:paraId="22536099" w14:textId="77777777" w:rsidR="009E255C" w:rsidRPr="00930CDB" w:rsidRDefault="009E255C" w:rsidP="00930CDB">
      <w:pPr>
        <w:ind w:left="357" w:firstLine="352"/>
        <w:jc w:val="both"/>
        <w:rPr>
          <w:b/>
          <w:bCs/>
        </w:rPr>
      </w:pPr>
    </w:p>
    <w:p w14:paraId="52199A69" w14:textId="77777777" w:rsidR="00930CDB" w:rsidRPr="00930CDB" w:rsidRDefault="00930CDB" w:rsidP="008516CB">
      <w:pPr>
        <w:ind w:firstLine="709"/>
        <w:jc w:val="both"/>
        <w:rPr>
          <w:b/>
          <w:bCs/>
          <w:u w:val="single"/>
        </w:rPr>
      </w:pPr>
      <w:r w:rsidRPr="00930CDB">
        <w:rPr>
          <w:b/>
          <w:bCs/>
          <w:u w:val="single"/>
        </w:rPr>
        <w:t>7. Timeline (Indicative)</w:t>
      </w:r>
    </w:p>
    <w:p w14:paraId="3B4581EA" w14:textId="778938CC" w:rsidR="00930CDB" w:rsidRPr="00930CDB" w:rsidRDefault="3E8F1BDC" w:rsidP="00724A01">
      <w:pPr>
        <w:numPr>
          <w:ilvl w:val="0"/>
          <w:numId w:val="5"/>
        </w:numPr>
        <w:spacing w:after="0" w:line="240" w:lineRule="auto"/>
        <w:ind w:hanging="357"/>
        <w:jc w:val="both"/>
      </w:pPr>
      <w:r>
        <w:t>Mid April</w:t>
      </w:r>
      <w:r w:rsidR="00930CDB">
        <w:t xml:space="preserve"> 2026:</w:t>
      </w:r>
    </w:p>
    <w:p w14:paraId="7495CAB1" w14:textId="77777777" w:rsidR="00930CDB" w:rsidRPr="00930CDB" w:rsidRDefault="00930CDB" w:rsidP="00724A01">
      <w:pPr>
        <w:numPr>
          <w:ilvl w:val="1"/>
          <w:numId w:val="5"/>
        </w:numPr>
        <w:spacing w:after="0" w:line="240" w:lineRule="auto"/>
        <w:ind w:hanging="357"/>
        <w:jc w:val="both"/>
      </w:pPr>
      <w:r w:rsidRPr="00930CDB">
        <w:t>Kick-off meeting and confirmation of methodology</w:t>
      </w:r>
    </w:p>
    <w:p w14:paraId="318DDC97" w14:textId="125701BC" w:rsidR="00930CDB" w:rsidRPr="00930CDB" w:rsidRDefault="0FAF2FD0" w:rsidP="00724A01">
      <w:pPr>
        <w:numPr>
          <w:ilvl w:val="0"/>
          <w:numId w:val="5"/>
        </w:numPr>
        <w:spacing w:after="0" w:line="240" w:lineRule="auto"/>
        <w:ind w:hanging="357"/>
        <w:jc w:val="both"/>
      </w:pPr>
      <w:r>
        <w:t>April</w:t>
      </w:r>
      <w:r w:rsidR="00930CDB">
        <w:t>–December 2026:</w:t>
      </w:r>
    </w:p>
    <w:p w14:paraId="2A546319" w14:textId="77777777" w:rsidR="00930CDB" w:rsidRPr="00930CDB" w:rsidRDefault="00930CDB" w:rsidP="00724A01">
      <w:pPr>
        <w:numPr>
          <w:ilvl w:val="1"/>
          <w:numId w:val="5"/>
        </w:numPr>
        <w:spacing w:after="0" w:line="240" w:lineRule="auto"/>
        <w:ind w:hanging="357"/>
        <w:jc w:val="both"/>
      </w:pPr>
      <w:r w:rsidRPr="00930CDB">
        <w:t>Financial analysis and evidence-building</w:t>
      </w:r>
    </w:p>
    <w:p w14:paraId="026A928C" w14:textId="77777777" w:rsidR="00930CDB" w:rsidRPr="00930CDB" w:rsidRDefault="00930CDB" w:rsidP="00724A01">
      <w:pPr>
        <w:numPr>
          <w:ilvl w:val="1"/>
          <w:numId w:val="5"/>
        </w:numPr>
        <w:spacing w:after="0" w:line="240" w:lineRule="auto"/>
        <w:ind w:hanging="357"/>
        <w:jc w:val="both"/>
      </w:pPr>
      <w:r w:rsidRPr="00930CDB">
        <w:t>Development and testing of SCO scenarios</w:t>
      </w:r>
    </w:p>
    <w:p w14:paraId="4D84BDE1" w14:textId="77777777" w:rsidR="00930CDB" w:rsidRPr="00930CDB" w:rsidRDefault="00930CDB" w:rsidP="00724A01">
      <w:pPr>
        <w:numPr>
          <w:ilvl w:val="1"/>
          <w:numId w:val="5"/>
        </w:numPr>
        <w:spacing w:after="0" w:line="240" w:lineRule="auto"/>
        <w:ind w:hanging="357"/>
        <w:jc w:val="both"/>
      </w:pPr>
      <w:r>
        <w:t>Drafting and internal consultation on SCO-based FMG SOP</w:t>
      </w:r>
    </w:p>
    <w:p w14:paraId="6DD148F7" w14:textId="5CAD8A6E" w:rsidR="02E337E0" w:rsidRDefault="02E337E0" w:rsidP="00724A01">
      <w:pPr>
        <w:numPr>
          <w:ilvl w:val="0"/>
          <w:numId w:val="5"/>
        </w:numPr>
        <w:spacing w:after="0" w:line="240" w:lineRule="auto"/>
        <w:ind w:hanging="357"/>
        <w:jc w:val="both"/>
      </w:pPr>
      <w:r>
        <w:t>September 2026:</w:t>
      </w:r>
    </w:p>
    <w:p w14:paraId="3EE8E72F" w14:textId="713B1B7B" w:rsidR="02E337E0" w:rsidRDefault="02E337E0" w:rsidP="00724A01">
      <w:pPr>
        <w:numPr>
          <w:ilvl w:val="1"/>
          <w:numId w:val="5"/>
        </w:numPr>
        <w:spacing w:after="0" w:line="240" w:lineRule="auto"/>
        <w:ind w:hanging="357"/>
        <w:jc w:val="both"/>
      </w:pPr>
      <w:r>
        <w:t>Draft deliverables presented to NRC for adjustments of scope if needed</w:t>
      </w:r>
    </w:p>
    <w:p w14:paraId="78754358" w14:textId="56377B6C" w:rsidR="00930CDB" w:rsidRPr="00930CDB" w:rsidRDefault="00930CDB" w:rsidP="00724A01">
      <w:pPr>
        <w:numPr>
          <w:ilvl w:val="0"/>
          <w:numId w:val="5"/>
        </w:numPr>
        <w:spacing w:after="0" w:line="240" w:lineRule="auto"/>
        <w:ind w:hanging="357"/>
        <w:jc w:val="both"/>
      </w:pPr>
      <w:r w:rsidRPr="00930CDB">
        <w:t xml:space="preserve">By </w:t>
      </w:r>
      <w:r w:rsidR="2E8EA64A">
        <w:t xml:space="preserve">start of </w:t>
      </w:r>
      <w:r w:rsidRPr="00930CDB">
        <w:t>December 2026:</w:t>
      </w:r>
    </w:p>
    <w:p w14:paraId="45A5794F" w14:textId="77777777" w:rsidR="00930CDB" w:rsidRPr="00930CDB" w:rsidRDefault="00930CDB" w:rsidP="00724A01">
      <w:pPr>
        <w:numPr>
          <w:ilvl w:val="1"/>
          <w:numId w:val="5"/>
        </w:numPr>
        <w:spacing w:after="0" w:line="240" w:lineRule="auto"/>
        <w:ind w:hanging="357"/>
        <w:jc w:val="both"/>
      </w:pPr>
      <w:r w:rsidRPr="00930CDB">
        <w:t>Finalisation of deliverables and internal validation</w:t>
      </w:r>
    </w:p>
    <w:p w14:paraId="782BACBA" w14:textId="35926EBF" w:rsidR="00930CDB" w:rsidRPr="00930CDB" w:rsidRDefault="00930CDB" w:rsidP="00930CDB">
      <w:pPr>
        <w:ind w:left="357" w:firstLine="352"/>
        <w:jc w:val="both"/>
        <w:rPr>
          <w:b/>
          <w:bCs/>
        </w:rPr>
      </w:pPr>
    </w:p>
    <w:p w14:paraId="3E8E6464" w14:textId="77777777" w:rsidR="00930CDB" w:rsidRPr="001725B6" w:rsidRDefault="00930CDB" w:rsidP="00C94E02">
      <w:pPr>
        <w:ind w:firstLine="709"/>
        <w:jc w:val="both"/>
        <w:rPr>
          <w:b/>
          <w:bCs/>
          <w:u w:val="single"/>
        </w:rPr>
      </w:pPr>
      <w:r w:rsidRPr="001725B6">
        <w:rPr>
          <w:b/>
          <w:bCs/>
          <w:u w:val="single"/>
        </w:rPr>
        <w:t>8. Deliverables</w:t>
      </w:r>
    </w:p>
    <w:p w14:paraId="77AE1DE0" w14:textId="77777777" w:rsidR="00930CDB" w:rsidRPr="00F2659E" w:rsidRDefault="00930CDB" w:rsidP="00724A0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F2659E">
        <w:rPr>
          <w:b/>
          <w:bCs/>
        </w:rPr>
        <w:t>Financial Evidence Paper</w:t>
      </w:r>
    </w:p>
    <w:p w14:paraId="6DBD1A80" w14:textId="77777777" w:rsidR="00930CDB" w:rsidRPr="00930CDB" w:rsidRDefault="00930CDB" w:rsidP="00724A01">
      <w:pPr>
        <w:pStyle w:val="Prrafodelista"/>
        <w:numPr>
          <w:ilvl w:val="1"/>
          <w:numId w:val="3"/>
        </w:numPr>
        <w:spacing w:after="0" w:line="240" w:lineRule="auto"/>
        <w:jc w:val="both"/>
      </w:pPr>
      <w:r w:rsidRPr="00930CDB">
        <w:t>Documentation of FMG cost structures and justification for proposed Simplified Cost Options.</w:t>
      </w:r>
    </w:p>
    <w:p w14:paraId="0AAE91B8" w14:textId="77777777" w:rsidR="00930CDB" w:rsidRPr="00F2659E" w:rsidRDefault="00930CDB" w:rsidP="00724A0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F2659E">
        <w:rPr>
          <w:b/>
          <w:bCs/>
        </w:rPr>
        <w:t>Compliance Mapping Note</w:t>
      </w:r>
    </w:p>
    <w:p w14:paraId="66190500" w14:textId="77777777" w:rsidR="00930CDB" w:rsidRPr="00930CDB" w:rsidRDefault="00930CDB" w:rsidP="00724A01">
      <w:pPr>
        <w:pStyle w:val="Prrafodelista"/>
        <w:numPr>
          <w:ilvl w:val="1"/>
          <w:numId w:val="3"/>
        </w:numPr>
        <w:spacing w:after="0" w:line="240" w:lineRule="auto"/>
        <w:jc w:val="both"/>
      </w:pPr>
      <w:r w:rsidRPr="00930CDB">
        <w:t>Analysis demonstrating alignment of proposed SCO models with ECHO financial and legal requirements.</w:t>
      </w:r>
    </w:p>
    <w:p w14:paraId="13B47D66" w14:textId="2C965860" w:rsidR="44FBD91E" w:rsidRPr="00863391" w:rsidRDefault="44FBD91E" w:rsidP="00EB41BA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863391">
        <w:rPr>
          <w:b/>
          <w:bCs/>
        </w:rPr>
        <w:t>Draft Authorising Decision on the use of the best fit SCO for FMGs under ECHO</w:t>
      </w:r>
    </w:p>
    <w:p w14:paraId="186D699C" w14:textId="1540EFF6" w:rsidR="5BD57E5E" w:rsidRDefault="5BD57E5E" w:rsidP="00724A01">
      <w:pPr>
        <w:pStyle w:val="Prrafodelista"/>
        <w:numPr>
          <w:ilvl w:val="1"/>
          <w:numId w:val="3"/>
        </w:numPr>
        <w:spacing w:after="0" w:line="240" w:lineRule="auto"/>
        <w:jc w:val="both"/>
      </w:pPr>
      <w:r>
        <w:t>Using the evidence collected through other deliverables and from Colombia pilot implementation of the S</w:t>
      </w:r>
      <w:r w:rsidRPr="00863391">
        <w:rPr>
          <w:rFonts w:eastAsiaTheme="minorEastAsia"/>
          <w:szCs w:val="20"/>
        </w:rPr>
        <w:t>COCO draft the request to be submitted to ECHO in order to obtain authorisation to apply the SCO chosen as most appropriate for the FMG scheme</w:t>
      </w:r>
    </w:p>
    <w:p w14:paraId="68E1C3F0" w14:textId="77777777" w:rsidR="00930CDB" w:rsidRPr="00F2659E" w:rsidRDefault="00930CDB" w:rsidP="00724A0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F2659E">
        <w:rPr>
          <w:b/>
          <w:bCs/>
        </w:rPr>
        <w:t>Draft FMG SOP (SCO-based)</w:t>
      </w:r>
    </w:p>
    <w:p w14:paraId="7F158635" w14:textId="5DF72BF2" w:rsidR="672833C9" w:rsidRDefault="00930CDB" w:rsidP="00724A01">
      <w:pPr>
        <w:pStyle w:val="Prrafodelista"/>
        <w:numPr>
          <w:ilvl w:val="1"/>
          <w:numId w:val="3"/>
        </w:numPr>
        <w:spacing w:after="0" w:line="240" w:lineRule="auto"/>
        <w:jc w:val="both"/>
      </w:pPr>
      <w:r>
        <w:t>Practical guidance on implementing FMG using Simplified Cost Options, ensuring full compliance with ECHO regulations.</w:t>
      </w:r>
      <w:r w:rsidR="768EF144">
        <w:t xml:space="preserve"> </w:t>
      </w:r>
    </w:p>
    <w:p w14:paraId="41B1FC0E" w14:textId="77777777" w:rsidR="00930CDB" w:rsidRPr="00F2659E" w:rsidRDefault="00930CDB" w:rsidP="00724A01">
      <w:pPr>
        <w:pStyle w:val="Prrafodelista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F2659E">
        <w:rPr>
          <w:b/>
          <w:bCs/>
        </w:rPr>
        <w:t>Strategic Briefing Materials</w:t>
      </w:r>
    </w:p>
    <w:p w14:paraId="641F7DB9" w14:textId="4C1C2BBF" w:rsidR="00930CDB" w:rsidRPr="00930CDB" w:rsidRDefault="00930CDB" w:rsidP="00724A01">
      <w:pPr>
        <w:pStyle w:val="Prrafodelista"/>
        <w:numPr>
          <w:ilvl w:val="1"/>
          <w:numId w:val="3"/>
        </w:numPr>
        <w:spacing w:after="0" w:line="240" w:lineRule="auto"/>
        <w:jc w:val="both"/>
      </w:pPr>
      <w:r w:rsidRPr="00930CDB">
        <w:t>PowerPoint slides summarising findings and SCO options for internal use and dialogue with ECHO.</w:t>
      </w:r>
    </w:p>
    <w:p w14:paraId="3083E6CE" w14:textId="0069275F" w:rsidR="003092AF" w:rsidRPr="001725B6" w:rsidRDefault="003092AF" w:rsidP="00316FDD">
      <w:pPr>
        <w:ind w:left="709"/>
        <w:jc w:val="both"/>
        <w:rPr>
          <w:b/>
          <w:bCs/>
          <w:u w:val="single"/>
        </w:rPr>
      </w:pPr>
    </w:p>
    <w:p w14:paraId="22B08FB5" w14:textId="77777777" w:rsidR="00930CDB" w:rsidRPr="001725B6" w:rsidRDefault="00930CDB" w:rsidP="00C94E02">
      <w:pPr>
        <w:ind w:left="720"/>
        <w:jc w:val="both"/>
        <w:rPr>
          <w:b/>
          <w:bCs/>
          <w:u w:val="single"/>
        </w:rPr>
      </w:pPr>
      <w:r w:rsidRPr="001725B6">
        <w:rPr>
          <w:b/>
          <w:bCs/>
          <w:u w:val="single"/>
        </w:rPr>
        <w:t>9. Working Methodology and Final Reporting</w:t>
      </w:r>
    </w:p>
    <w:p w14:paraId="6A85DAFC" w14:textId="77777777" w:rsidR="00930CDB" w:rsidRPr="00930CDB" w:rsidRDefault="00930CDB" w:rsidP="00724A01">
      <w:pPr>
        <w:numPr>
          <w:ilvl w:val="0"/>
          <w:numId w:val="4"/>
        </w:numPr>
        <w:spacing w:after="0" w:line="240" w:lineRule="auto"/>
        <w:ind w:hanging="357"/>
        <w:jc w:val="both"/>
      </w:pPr>
      <w:r w:rsidRPr="00930CDB">
        <w:t>Regular check-ins between the consultant and the project lead to track progress and address any blocking issues.</w:t>
      </w:r>
    </w:p>
    <w:p w14:paraId="2C2ED349" w14:textId="77777777" w:rsidR="00930CDB" w:rsidRPr="00930CDB" w:rsidRDefault="00930CDB" w:rsidP="00724A01">
      <w:pPr>
        <w:numPr>
          <w:ilvl w:val="0"/>
          <w:numId w:val="4"/>
        </w:numPr>
        <w:spacing w:after="0" w:line="240" w:lineRule="auto"/>
        <w:ind w:hanging="357"/>
        <w:jc w:val="both"/>
      </w:pPr>
      <w:r w:rsidRPr="00930CDB">
        <w:t>Iterative review of key outputs with Finance, Risk, and Partnerships teams.</w:t>
      </w:r>
    </w:p>
    <w:p w14:paraId="1B6C53EA" w14:textId="77777777" w:rsidR="00930CDB" w:rsidRPr="00930CDB" w:rsidRDefault="00930CDB" w:rsidP="00724A01">
      <w:pPr>
        <w:numPr>
          <w:ilvl w:val="0"/>
          <w:numId w:val="4"/>
        </w:numPr>
        <w:spacing w:after="0" w:line="240" w:lineRule="auto"/>
        <w:ind w:hanging="357"/>
        <w:jc w:val="both"/>
      </w:pPr>
      <w:r w:rsidRPr="00930CDB">
        <w:t>Timely delivery of all deliverables with a strong focus on clarity, usability, and regulatory robustness.</w:t>
      </w:r>
    </w:p>
    <w:p w14:paraId="25DBFAEC" w14:textId="77777777" w:rsidR="00930CDB" w:rsidRPr="00930CDB" w:rsidRDefault="00930CDB" w:rsidP="00724A01">
      <w:pPr>
        <w:numPr>
          <w:ilvl w:val="0"/>
          <w:numId w:val="4"/>
        </w:numPr>
        <w:spacing w:after="0" w:line="240" w:lineRule="auto"/>
        <w:ind w:hanging="357"/>
        <w:jc w:val="both"/>
      </w:pPr>
      <w:r w:rsidRPr="00930CDB">
        <w:t>Final consolidated report including:</w:t>
      </w:r>
    </w:p>
    <w:p w14:paraId="0335EB15" w14:textId="77777777" w:rsidR="00930CDB" w:rsidRPr="00930CDB" w:rsidRDefault="00930CDB" w:rsidP="00724A01">
      <w:pPr>
        <w:numPr>
          <w:ilvl w:val="1"/>
          <w:numId w:val="4"/>
        </w:numPr>
        <w:spacing w:after="0" w:line="240" w:lineRule="auto"/>
        <w:ind w:hanging="357"/>
        <w:jc w:val="both"/>
      </w:pPr>
      <w:r w:rsidRPr="00930CDB">
        <w:t>Written synthesis of all deliverables</w:t>
      </w:r>
    </w:p>
    <w:p w14:paraId="468832B6" w14:textId="77777777" w:rsidR="00930CDB" w:rsidRPr="00930CDB" w:rsidRDefault="00930CDB" w:rsidP="00724A01">
      <w:pPr>
        <w:numPr>
          <w:ilvl w:val="1"/>
          <w:numId w:val="4"/>
        </w:numPr>
        <w:spacing w:after="0" w:line="240" w:lineRule="auto"/>
        <w:ind w:hanging="357"/>
        <w:jc w:val="both"/>
      </w:pPr>
      <w:r w:rsidRPr="00930CDB">
        <w:t>PowerPoint briefing materials for NRC internal audiences</w:t>
      </w:r>
    </w:p>
    <w:p w14:paraId="6C1C0222" w14:textId="77777777" w:rsidR="00FC4176" w:rsidRPr="001725B6" w:rsidRDefault="00FC4176" w:rsidP="00FC4176">
      <w:pPr>
        <w:ind w:left="357" w:firstLine="352"/>
        <w:jc w:val="both"/>
        <w:rPr>
          <w:b/>
          <w:bCs/>
          <w:u w:val="single"/>
        </w:rPr>
      </w:pPr>
    </w:p>
    <w:p w14:paraId="66F917E2" w14:textId="744307FD" w:rsidR="00F039EE" w:rsidRPr="00F039EE" w:rsidRDefault="00FE7B1C" w:rsidP="001F55C8">
      <w:pPr>
        <w:ind w:left="720"/>
        <w:jc w:val="both"/>
        <w:rPr>
          <w:b/>
          <w:bCs/>
          <w:u w:val="single"/>
        </w:rPr>
      </w:pPr>
      <w:r w:rsidRPr="001725B6">
        <w:rPr>
          <w:b/>
          <w:bCs/>
          <w:u w:val="single"/>
        </w:rPr>
        <w:t>10.</w:t>
      </w:r>
      <w:r w:rsidR="006A7FB2" w:rsidRPr="001725B6">
        <w:rPr>
          <w:b/>
          <w:bCs/>
          <w:u w:val="single"/>
        </w:rPr>
        <w:t xml:space="preserve"> </w:t>
      </w:r>
      <w:r w:rsidR="00F039EE" w:rsidRPr="00F039EE">
        <w:rPr>
          <w:b/>
          <w:bCs/>
          <w:u w:val="single"/>
        </w:rPr>
        <w:t>Procurement and Selection Process</w:t>
      </w:r>
    </w:p>
    <w:p w14:paraId="7D162E36" w14:textId="77777777" w:rsidR="00F039EE" w:rsidRPr="00F039EE" w:rsidRDefault="00F039EE" w:rsidP="004E6444">
      <w:pPr>
        <w:numPr>
          <w:ilvl w:val="0"/>
          <w:numId w:val="11"/>
        </w:numPr>
        <w:tabs>
          <w:tab w:val="clear" w:pos="720"/>
          <w:tab w:val="num" w:pos="1069"/>
        </w:tabs>
        <w:spacing w:after="0" w:line="240" w:lineRule="auto"/>
        <w:ind w:left="1069"/>
        <w:jc w:val="both"/>
        <w:rPr>
          <w:u w:val="single"/>
        </w:rPr>
      </w:pPr>
      <w:r w:rsidRPr="00F039EE">
        <w:rPr>
          <w:u w:val="single"/>
        </w:rPr>
        <w:t>Selection Timeline</w:t>
      </w:r>
    </w:p>
    <w:p w14:paraId="56F7CA26" w14:textId="5A712526" w:rsidR="00F039EE" w:rsidRPr="00F039EE" w:rsidRDefault="00F039EE" w:rsidP="004E6444">
      <w:pPr>
        <w:numPr>
          <w:ilvl w:val="1"/>
          <w:numId w:val="11"/>
        </w:numPr>
        <w:spacing w:after="0" w:line="240" w:lineRule="auto"/>
        <w:jc w:val="both"/>
      </w:pPr>
      <w:r w:rsidRPr="00F039EE">
        <w:t xml:space="preserve">Publication of ToR: </w:t>
      </w:r>
      <w:r w:rsidR="00B67530">
        <w:t>February 25, 2026</w:t>
      </w:r>
    </w:p>
    <w:p w14:paraId="7B12E972" w14:textId="3F52B381" w:rsidR="00F039EE" w:rsidRPr="00F039EE" w:rsidRDefault="00F039EE" w:rsidP="004E6444">
      <w:pPr>
        <w:numPr>
          <w:ilvl w:val="1"/>
          <w:numId w:val="11"/>
        </w:numPr>
        <w:spacing w:after="0" w:line="240" w:lineRule="auto"/>
        <w:jc w:val="both"/>
      </w:pPr>
      <w:r w:rsidRPr="00F039EE">
        <w:t xml:space="preserve">Deadline for submission of proposals: </w:t>
      </w:r>
      <w:r w:rsidR="00B67530">
        <w:t xml:space="preserve">March </w:t>
      </w:r>
      <w:r w:rsidR="003D23AE">
        <w:t>19</w:t>
      </w:r>
      <w:r w:rsidR="00B67530">
        <w:t>, 2026</w:t>
      </w:r>
    </w:p>
    <w:p w14:paraId="1F92ABDC" w14:textId="1E7161B6" w:rsidR="00F039EE" w:rsidRPr="00F039EE" w:rsidRDefault="00F039EE" w:rsidP="004E6444">
      <w:pPr>
        <w:numPr>
          <w:ilvl w:val="1"/>
          <w:numId w:val="11"/>
        </w:numPr>
        <w:spacing w:after="0" w:line="240" w:lineRule="auto"/>
        <w:jc w:val="both"/>
      </w:pPr>
      <w:r w:rsidRPr="00F039EE">
        <w:t xml:space="preserve">Shortlisting and interviews (if applicable): </w:t>
      </w:r>
      <w:r w:rsidR="009B2FE6">
        <w:t>end of March</w:t>
      </w:r>
    </w:p>
    <w:p w14:paraId="58D7CAB2" w14:textId="66617EC9" w:rsidR="00F039EE" w:rsidRPr="00F039EE" w:rsidRDefault="00F039EE" w:rsidP="004E6444">
      <w:pPr>
        <w:numPr>
          <w:ilvl w:val="1"/>
          <w:numId w:val="11"/>
        </w:numPr>
        <w:spacing w:after="0" w:line="240" w:lineRule="auto"/>
        <w:jc w:val="both"/>
      </w:pPr>
      <w:r w:rsidRPr="00F039EE">
        <w:t xml:space="preserve">Selection and notification of successful applicant: </w:t>
      </w:r>
      <w:r w:rsidR="00844D1C">
        <w:t>end of March or early April</w:t>
      </w:r>
    </w:p>
    <w:p w14:paraId="6987FC35" w14:textId="6F9A03C0" w:rsidR="00F039EE" w:rsidRPr="00F039EE" w:rsidRDefault="00F039EE" w:rsidP="004E6444">
      <w:pPr>
        <w:numPr>
          <w:ilvl w:val="1"/>
          <w:numId w:val="11"/>
        </w:numPr>
        <w:spacing w:after="0" w:line="240" w:lineRule="auto"/>
        <w:jc w:val="both"/>
      </w:pPr>
      <w:r w:rsidRPr="00F039EE">
        <w:t xml:space="preserve">Expected contract start date: </w:t>
      </w:r>
      <w:r w:rsidR="009B29A9">
        <w:t>mid-</w:t>
      </w:r>
      <w:r w:rsidRPr="00F039EE">
        <w:t>April 2026</w:t>
      </w:r>
    </w:p>
    <w:p w14:paraId="20E36C86" w14:textId="77777777" w:rsidR="00F039EE" w:rsidRDefault="00F039EE" w:rsidP="004E6444">
      <w:pPr>
        <w:spacing w:after="0" w:line="240" w:lineRule="auto"/>
        <w:ind w:left="1069"/>
        <w:jc w:val="both"/>
      </w:pPr>
      <w:r w:rsidRPr="00F039EE">
        <w:t>Late submissions will not be considered.</w:t>
      </w:r>
    </w:p>
    <w:p w14:paraId="4F09307C" w14:textId="77777777" w:rsidR="004E6444" w:rsidRPr="00F039EE" w:rsidRDefault="004E6444" w:rsidP="004E6444">
      <w:pPr>
        <w:spacing w:after="0" w:line="240" w:lineRule="auto"/>
        <w:ind w:left="1069"/>
        <w:jc w:val="both"/>
      </w:pPr>
    </w:p>
    <w:p w14:paraId="4FC72067" w14:textId="77777777" w:rsidR="00F039EE" w:rsidRPr="00F039EE" w:rsidRDefault="00F039EE" w:rsidP="004E6444">
      <w:pPr>
        <w:numPr>
          <w:ilvl w:val="0"/>
          <w:numId w:val="11"/>
        </w:numPr>
        <w:tabs>
          <w:tab w:val="clear" w:pos="720"/>
          <w:tab w:val="num" w:pos="1069"/>
        </w:tabs>
        <w:spacing w:after="0" w:line="240" w:lineRule="auto"/>
        <w:ind w:left="1069"/>
        <w:jc w:val="both"/>
        <w:rPr>
          <w:u w:val="single"/>
        </w:rPr>
      </w:pPr>
      <w:r w:rsidRPr="00F039EE">
        <w:rPr>
          <w:u w:val="single"/>
        </w:rPr>
        <w:t>Required Profile of the Service Provider</w:t>
      </w:r>
    </w:p>
    <w:p w14:paraId="2532F373" w14:textId="77777777" w:rsidR="00F039EE" w:rsidRPr="00F039EE" w:rsidRDefault="00F039EE" w:rsidP="004E6444">
      <w:pPr>
        <w:spacing w:after="0" w:line="240" w:lineRule="auto"/>
        <w:ind w:left="1069"/>
        <w:jc w:val="both"/>
      </w:pPr>
      <w:r w:rsidRPr="00F039EE">
        <w:t>The consultant or consultancy firm must demonstrate:</w:t>
      </w:r>
    </w:p>
    <w:p w14:paraId="2EB24910" w14:textId="77777777" w:rsidR="00F039EE" w:rsidRPr="00F039EE" w:rsidRDefault="00F039EE" w:rsidP="00C97D19">
      <w:pPr>
        <w:numPr>
          <w:ilvl w:val="1"/>
          <w:numId w:val="11"/>
        </w:numPr>
        <w:tabs>
          <w:tab w:val="clear" w:pos="1440"/>
          <w:tab w:val="num" w:pos="1429"/>
        </w:tabs>
        <w:spacing w:after="0" w:line="240" w:lineRule="auto"/>
        <w:jc w:val="both"/>
      </w:pPr>
      <w:r w:rsidRPr="00F039EE">
        <w:lastRenderedPageBreak/>
        <w:t>At least 7–10 years of measurable professional experience in humanitarian finance, EU-funded programmes, or financial compliance advisory services.</w:t>
      </w:r>
    </w:p>
    <w:p w14:paraId="08A9ACD4" w14:textId="2DE96E9C" w:rsidR="00F039EE" w:rsidRPr="00F039EE" w:rsidRDefault="00F039EE" w:rsidP="00C97D19">
      <w:pPr>
        <w:numPr>
          <w:ilvl w:val="1"/>
          <w:numId w:val="11"/>
        </w:numPr>
        <w:tabs>
          <w:tab w:val="clear" w:pos="1440"/>
          <w:tab w:val="num" w:pos="1429"/>
        </w:tabs>
        <w:spacing w:after="0" w:line="240" w:lineRule="auto"/>
        <w:jc w:val="both"/>
      </w:pPr>
      <w:r w:rsidRPr="00F039EE">
        <w:t xml:space="preserve">Demonstrated experience in developing or applying Simplified Cost Options (SCOs) </w:t>
      </w:r>
    </w:p>
    <w:p w14:paraId="7057F576" w14:textId="77777777" w:rsidR="00F039EE" w:rsidRPr="00F039EE" w:rsidRDefault="00F039EE" w:rsidP="00C97D19">
      <w:pPr>
        <w:numPr>
          <w:ilvl w:val="1"/>
          <w:numId w:val="11"/>
        </w:numPr>
        <w:tabs>
          <w:tab w:val="clear" w:pos="1440"/>
          <w:tab w:val="num" w:pos="1429"/>
        </w:tabs>
        <w:spacing w:after="0" w:line="240" w:lineRule="auto"/>
        <w:jc w:val="both"/>
      </w:pPr>
      <w:r w:rsidRPr="00F039EE">
        <w:t>Proven expertise in EU financial regulations, including Financial Regulation, MGA/AGA, and authorising decision processes.</w:t>
      </w:r>
    </w:p>
    <w:p w14:paraId="7970B5C3" w14:textId="77777777" w:rsidR="00F039EE" w:rsidRPr="00F039EE" w:rsidRDefault="00F039EE" w:rsidP="00C97D19">
      <w:pPr>
        <w:numPr>
          <w:ilvl w:val="1"/>
          <w:numId w:val="11"/>
        </w:numPr>
        <w:tabs>
          <w:tab w:val="clear" w:pos="1440"/>
          <w:tab w:val="num" w:pos="1429"/>
        </w:tabs>
        <w:spacing w:after="0" w:line="240" w:lineRule="auto"/>
        <w:jc w:val="both"/>
      </w:pPr>
      <w:r w:rsidRPr="00F039EE">
        <w:t>Strong analytical skills in financial modelling, cost-structure analysis, and risk/compliance mapping.</w:t>
      </w:r>
    </w:p>
    <w:p w14:paraId="73F9EA74" w14:textId="77777777" w:rsidR="00F039EE" w:rsidRPr="00F039EE" w:rsidRDefault="00F039EE" w:rsidP="00C97D19">
      <w:pPr>
        <w:numPr>
          <w:ilvl w:val="1"/>
          <w:numId w:val="11"/>
        </w:numPr>
        <w:tabs>
          <w:tab w:val="clear" w:pos="1440"/>
          <w:tab w:val="num" w:pos="1429"/>
        </w:tabs>
        <w:spacing w:after="0" w:line="240" w:lineRule="auto"/>
        <w:jc w:val="both"/>
      </w:pPr>
      <w:r w:rsidRPr="00F039EE">
        <w:t>Experience drafting Standard Operating Procedures (SOPs) and regulatory compliance documentation.</w:t>
      </w:r>
    </w:p>
    <w:p w14:paraId="55A464A4" w14:textId="77777777" w:rsidR="00F039EE" w:rsidRPr="00F039EE" w:rsidRDefault="00F039EE" w:rsidP="00C97D19">
      <w:pPr>
        <w:numPr>
          <w:ilvl w:val="1"/>
          <w:numId w:val="11"/>
        </w:numPr>
        <w:tabs>
          <w:tab w:val="clear" w:pos="1440"/>
          <w:tab w:val="num" w:pos="1429"/>
        </w:tabs>
        <w:spacing w:after="0" w:line="240" w:lineRule="auto"/>
        <w:jc w:val="both"/>
      </w:pPr>
      <w:r w:rsidRPr="00F039EE">
        <w:t>Familiarity with humanitarian partnership modalities and Financial Support to Third Parties (FSTP) mechanisms is highly desirable.</w:t>
      </w:r>
    </w:p>
    <w:p w14:paraId="1EB5D533" w14:textId="1DB6EF94" w:rsidR="00F039EE" w:rsidRPr="00F039EE" w:rsidRDefault="00F039EE" w:rsidP="00C97D19">
      <w:pPr>
        <w:numPr>
          <w:ilvl w:val="1"/>
          <w:numId w:val="11"/>
        </w:numPr>
        <w:tabs>
          <w:tab w:val="clear" w:pos="1440"/>
          <w:tab w:val="num" w:pos="1429"/>
        </w:tabs>
        <w:spacing w:after="0" w:line="240" w:lineRule="auto"/>
        <w:jc w:val="both"/>
      </w:pPr>
      <w:r w:rsidRPr="00F039EE">
        <w:t>Excellent written and spoken English.</w:t>
      </w:r>
      <w:r w:rsidR="007D2DB6">
        <w:t xml:space="preserve"> Spanish is considered as a strong asset.</w:t>
      </w:r>
    </w:p>
    <w:p w14:paraId="40C0D567" w14:textId="77777777" w:rsidR="00F039EE" w:rsidRDefault="00F039EE" w:rsidP="00C97D19">
      <w:pPr>
        <w:numPr>
          <w:ilvl w:val="1"/>
          <w:numId w:val="11"/>
        </w:numPr>
        <w:spacing w:after="0" w:line="240" w:lineRule="auto"/>
        <w:jc w:val="both"/>
      </w:pPr>
      <w:r w:rsidRPr="00F039EE">
        <w:t>Bidders must provide evidence of relevant assignments, including references and examples of comparable work.</w:t>
      </w:r>
    </w:p>
    <w:p w14:paraId="592B1576" w14:textId="77777777" w:rsidR="007D2DB6" w:rsidRPr="00F039EE" w:rsidRDefault="007D2DB6" w:rsidP="007D2DB6">
      <w:pPr>
        <w:spacing w:after="0" w:line="240" w:lineRule="auto"/>
        <w:ind w:left="1440"/>
        <w:jc w:val="both"/>
      </w:pPr>
    </w:p>
    <w:p w14:paraId="40C79C05" w14:textId="77777777" w:rsidR="00F039EE" w:rsidRPr="00F039EE" w:rsidRDefault="00F039EE" w:rsidP="004E6444">
      <w:pPr>
        <w:numPr>
          <w:ilvl w:val="0"/>
          <w:numId w:val="11"/>
        </w:numPr>
        <w:tabs>
          <w:tab w:val="clear" w:pos="720"/>
          <w:tab w:val="num" w:pos="1069"/>
        </w:tabs>
        <w:spacing w:after="0" w:line="240" w:lineRule="auto"/>
        <w:ind w:left="1069"/>
        <w:jc w:val="both"/>
        <w:rPr>
          <w:u w:val="single"/>
        </w:rPr>
      </w:pPr>
      <w:r w:rsidRPr="00F039EE">
        <w:rPr>
          <w:u w:val="single"/>
        </w:rPr>
        <w:t>Financial Proposal Requirements</w:t>
      </w:r>
    </w:p>
    <w:p w14:paraId="44B95038" w14:textId="456F2BE4" w:rsidR="00F039EE" w:rsidRPr="00F039EE" w:rsidRDefault="00F039EE" w:rsidP="00C97D19">
      <w:pPr>
        <w:numPr>
          <w:ilvl w:val="1"/>
          <w:numId w:val="11"/>
        </w:numPr>
        <w:tabs>
          <w:tab w:val="num" w:pos="1069"/>
        </w:tabs>
        <w:spacing w:after="0" w:line="240" w:lineRule="auto"/>
        <w:jc w:val="both"/>
      </w:pPr>
      <w:r w:rsidRPr="00F039EE">
        <w:t xml:space="preserve">Proposals must include all applicable taxes, fees, and </w:t>
      </w:r>
      <w:r w:rsidR="007D2DB6">
        <w:t>specific</w:t>
      </w:r>
      <w:r w:rsidRPr="00F039EE">
        <w:t xml:space="preserve"> expenses, where relevant.</w:t>
      </w:r>
    </w:p>
    <w:p w14:paraId="14475D79" w14:textId="49545CF7" w:rsidR="00F039EE" w:rsidRPr="00F039EE" w:rsidRDefault="00D0276E" w:rsidP="00C97D19">
      <w:pPr>
        <w:numPr>
          <w:ilvl w:val="1"/>
          <w:numId w:val="11"/>
        </w:numPr>
        <w:tabs>
          <w:tab w:val="num" w:pos="1069"/>
        </w:tabs>
        <w:spacing w:after="0" w:line="240" w:lineRule="auto"/>
        <w:jc w:val="both"/>
      </w:pPr>
      <w:r>
        <w:t xml:space="preserve">No </w:t>
      </w:r>
      <w:r w:rsidR="00116FED">
        <w:t xml:space="preserve">travel </w:t>
      </w:r>
      <w:r>
        <w:t>visit is expected to be conducted.</w:t>
      </w:r>
    </w:p>
    <w:p w14:paraId="10D9985E" w14:textId="77777777" w:rsidR="00F039EE" w:rsidRPr="00F039EE" w:rsidRDefault="00F039EE" w:rsidP="00C97D19">
      <w:pPr>
        <w:numPr>
          <w:ilvl w:val="1"/>
          <w:numId w:val="11"/>
        </w:numPr>
        <w:tabs>
          <w:tab w:val="num" w:pos="1069"/>
        </w:tabs>
        <w:spacing w:after="0" w:line="240" w:lineRule="auto"/>
        <w:jc w:val="both"/>
      </w:pPr>
      <w:r w:rsidRPr="00F039EE">
        <w:t>The financial proposal should clearly indicate:</w:t>
      </w:r>
    </w:p>
    <w:p w14:paraId="06B7047A" w14:textId="77777777" w:rsidR="00F039EE" w:rsidRPr="00F039EE" w:rsidRDefault="00F039EE" w:rsidP="00C97D19">
      <w:pPr>
        <w:numPr>
          <w:ilvl w:val="2"/>
          <w:numId w:val="11"/>
        </w:numPr>
        <w:spacing w:after="0" w:line="240" w:lineRule="auto"/>
        <w:jc w:val="both"/>
      </w:pPr>
      <w:r w:rsidRPr="00F039EE">
        <w:t>Daily rate</w:t>
      </w:r>
    </w:p>
    <w:p w14:paraId="363363E2" w14:textId="77777777" w:rsidR="00F039EE" w:rsidRPr="00F039EE" w:rsidRDefault="00F039EE" w:rsidP="00C97D19">
      <w:pPr>
        <w:numPr>
          <w:ilvl w:val="2"/>
          <w:numId w:val="11"/>
        </w:numPr>
        <w:spacing w:after="0" w:line="240" w:lineRule="auto"/>
        <w:jc w:val="both"/>
      </w:pPr>
      <w:r w:rsidRPr="00F039EE">
        <w:t>Estimated number of working days</w:t>
      </w:r>
    </w:p>
    <w:p w14:paraId="6C8BAB57" w14:textId="77777777" w:rsidR="00F039EE" w:rsidRDefault="00F039EE" w:rsidP="00C97D19">
      <w:pPr>
        <w:numPr>
          <w:ilvl w:val="2"/>
          <w:numId w:val="11"/>
        </w:numPr>
        <w:spacing w:after="0" w:line="240" w:lineRule="auto"/>
        <w:jc w:val="both"/>
      </w:pPr>
      <w:r w:rsidRPr="00F039EE">
        <w:t>Total contract value (inclusive of all costs)</w:t>
      </w:r>
    </w:p>
    <w:p w14:paraId="7A2E31A3" w14:textId="77777777" w:rsidR="007D2DB6" w:rsidRPr="00F039EE" w:rsidRDefault="007D2DB6" w:rsidP="007D2DB6">
      <w:pPr>
        <w:spacing w:after="0" w:line="240" w:lineRule="auto"/>
        <w:ind w:left="2160"/>
        <w:jc w:val="both"/>
      </w:pPr>
    </w:p>
    <w:p w14:paraId="45392B6E" w14:textId="77777777" w:rsidR="00F039EE" w:rsidRPr="00F039EE" w:rsidRDefault="00F039EE" w:rsidP="004E6444">
      <w:pPr>
        <w:numPr>
          <w:ilvl w:val="0"/>
          <w:numId w:val="11"/>
        </w:numPr>
        <w:tabs>
          <w:tab w:val="clear" w:pos="720"/>
          <w:tab w:val="num" w:pos="1069"/>
        </w:tabs>
        <w:spacing w:after="0" w:line="240" w:lineRule="auto"/>
        <w:ind w:left="1069"/>
        <w:jc w:val="both"/>
        <w:rPr>
          <w:u w:val="single"/>
        </w:rPr>
      </w:pPr>
      <w:r w:rsidRPr="00F039EE">
        <w:rPr>
          <w:u w:val="single"/>
        </w:rPr>
        <w:t>Payment Schedule</w:t>
      </w:r>
    </w:p>
    <w:p w14:paraId="21C2D8EC" w14:textId="77777777" w:rsidR="00A52A04" w:rsidRPr="00A52A04" w:rsidRDefault="00A52A04" w:rsidP="00A52A04">
      <w:pPr>
        <w:pStyle w:val="NormalWeb"/>
        <w:numPr>
          <w:ilvl w:val="1"/>
          <w:numId w:val="11"/>
        </w:numPr>
        <w:rPr>
          <w:rFonts w:asciiTheme="minorHAnsi" w:eastAsiaTheme="minorHAnsi" w:hAnsiTheme="minorHAnsi" w:cstheme="minorBidi"/>
          <w:color w:val="464645" w:themeColor="text1"/>
          <w:sz w:val="20"/>
          <w:szCs w:val="22"/>
          <w:lang w:eastAsia="en-US"/>
        </w:rPr>
      </w:pPr>
      <w:r w:rsidRPr="00A52A04">
        <w:rPr>
          <w:rFonts w:asciiTheme="minorHAnsi" w:eastAsiaTheme="minorHAnsi" w:hAnsiTheme="minorHAnsi" w:cstheme="minorBidi"/>
          <w:color w:val="464645" w:themeColor="text1"/>
          <w:sz w:val="20"/>
          <w:szCs w:val="22"/>
          <w:lang w:eastAsia="en-US"/>
        </w:rPr>
        <w:t>Payments will be linked to the satisfactory completion and approval of agreed deliverables.</w:t>
      </w:r>
    </w:p>
    <w:p w14:paraId="4B088BFB" w14:textId="77777777" w:rsidR="00A52A04" w:rsidRPr="00A52A04" w:rsidRDefault="00A52A04" w:rsidP="00A52A04">
      <w:pPr>
        <w:pStyle w:val="NormalWeb"/>
        <w:numPr>
          <w:ilvl w:val="1"/>
          <w:numId w:val="11"/>
        </w:numPr>
        <w:rPr>
          <w:rFonts w:asciiTheme="minorHAnsi" w:eastAsiaTheme="minorHAnsi" w:hAnsiTheme="minorHAnsi" w:cstheme="minorBidi"/>
          <w:color w:val="464645" w:themeColor="text1"/>
          <w:sz w:val="20"/>
          <w:szCs w:val="22"/>
          <w:lang w:eastAsia="en-US"/>
        </w:rPr>
      </w:pPr>
      <w:r w:rsidRPr="00A52A04">
        <w:rPr>
          <w:rFonts w:asciiTheme="minorHAnsi" w:eastAsiaTheme="minorHAnsi" w:hAnsiTheme="minorHAnsi" w:cstheme="minorBidi"/>
          <w:color w:val="464645" w:themeColor="text1"/>
          <w:sz w:val="20"/>
          <w:szCs w:val="22"/>
          <w:lang w:eastAsia="en-US"/>
        </w:rPr>
        <w:t>The detailed payment schedule and instalment structure will be defined during the contracting phase and formalised in the consultancy agreement.</w:t>
      </w:r>
    </w:p>
    <w:p w14:paraId="21EF0982" w14:textId="77777777" w:rsidR="00A52A04" w:rsidRPr="00A52A04" w:rsidRDefault="00A52A04" w:rsidP="00A52A04">
      <w:pPr>
        <w:pStyle w:val="NormalWeb"/>
        <w:numPr>
          <w:ilvl w:val="1"/>
          <w:numId w:val="11"/>
        </w:numPr>
        <w:rPr>
          <w:rFonts w:asciiTheme="minorHAnsi" w:eastAsiaTheme="minorHAnsi" w:hAnsiTheme="minorHAnsi" w:cstheme="minorBidi"/>
          <w:color w:val="464645" w:themeColor="text1"/>
          <w:sz w:val="20"/>
          <w:szCs w:val="22"/>
          <w:lang w:eastAsia="en-US"/>
        </w:rPr>
      </w:pPr>
      <w:r w:rsidRPr="00A52A04">
        <w:rPr>
          <w:rFonts w:asciiTheme="minorHAnsi" w:eastAsiaTheme="minorHAnsi" w:hAnsiTheme="minorHAnsi" w:cstheme="minorBidi"/>
          <w:color w:val="464645" w:themeColor="text1"/>
          <w:sz w:val="20"/>
          <w:szCs w:val="22"/>
          <w:lang w:eastAsia="en-US"/>
        </w:rPr>
        <w:t>All payments remain subject to formal approval of deliverables by NRC.</w:t>
      </w:r>
    </w:p>
    <w:p w14:paraId="77C6BED1" w14:textId="77777777" w:rsidR="00823E5C" w:rsidRPr="001725B6" w:rsidRDefault="00823E5C" w:rsidP="24667446">
      <w:pPr>
        <w:ind w:left="720"/>
        <w:jc w:val="both"/>
        <w:rPr>
          <w:b/>
          <w:bCs/>
          <w:u w:val="single"/>
        </w:rPr>
      </w:pPr>
    </w:p>
    <w:p w14:paraId="33F7270A" w14:textId="11446FE0" w:rsidR="279C3F5D" w:rsidRDefault="279C3F5D" w:rsidP="619AA6DB">
      <w:pPr>
        <w:numPr>
          <w:ilvl w:val="0"/>
          <w:numId w:val="11"/>
        </w:numPr>
        <w:tabs>
          <w:tab w:val="clear" w:pos="720"/>
          <w:tab w:val="num" w:pos="1069"/>
        </w:tabs>
        <w:spacing w:after="0" w:line="240" w:lineRule="auto"/>
        <w:ind w:left="1069"/>
        <w:jc w:val="both"/>
        <w:rPr>
          <w:u w:val="single"/>
        </w:rPr>
      </w:pPr>
      <w:r w:rsidRPr="619AA6DB">
        <w:rPr>
          <w:u w:val="single"/>
        </w:rPr>
        <w:t>Submission and questions</w:t>
      </w:r>
    </w:p>
    <w:p w14:paraId="5AB51104" w14:textId="28161D60" w:rsidR="279C3F5D" w:rsidRDefault="00546D6C" w:rsidP="619AA6DB">
      <w:pPr>
        <w:pStyle w:val="Prrafodelista"/>
        <w:numPr>
          <w:ilvl w:val="0"/>
          <w:numId w:val="0"/>
        </w:numPr>
        <w:ind w:left="1440"/>
        <w:jc w:val="both"/>
      </w:pPr>
      <w:hyperlink r:id="rId11">
        <w:r w:rsidR="279C3F5D" w:rsidRPr="619AA6DB">
          <w:rPr>
            <w:rStyle w:val="Hipervnculo"/>
            <w:rFonts w:ascii="Aptos" w:eastAsia="Aptos" w:hAnsi="Aptos" w:cs="Aptos"/>
            <w:b/>
            <w:bCs/>
            <w:color w:val="467886"/>
            <w:szCs w:val="20"/>
            <w:lang w:val="en-US"/>
          </w:rPr>
          <w:t>co.tender@nrc.no</w:t>
        </w:r>
      </w:hyperlink>
    </w:p>
    <w:p w14:paraId="3E04680C" w14:textId="624BF6FE" w:rsidR="619AA6DB" w:rsidRDefault="619AA6DB" w:rsidP="619AA6DB">
      <w:pPr>
        <w:pStyle w:val="Prrafodelista"/>
        <w:numPr>
          <w:ilvl w:val="0"/>
          <w:numId w:val="0"/>
        </w:numPr>
        <w:ind w:left="1440"/>
        <w:jc w:val="both"/>
      </w:pPr>
    </w:p>
    <w:p w14:paraId="34CA4802" w14:textId="49B38206" w:rsidR="619AA6DB" w:rsidRDefault="619AA6DB" w:rsidP="619AA6DB">
      <w:pPr>
        <w:ind w:left="720"/>
        <w:jc w:val="both"/>
        <w:rPr>
          <w:rFonts w:eastAsiaTheme="minorEastAsia" w:hint="eastAsia"/>
          <w:szCs w:val="20"/>
        </w:rPr>
      </w:pPr>
    </w:p>
    <w:sectPr w:rsidR="619AA6DB" w:rsidSect="00BF7C41">
      <w:footerReference w:type="default" r:id="rId12"/>
      <w:pgSz w:w="11906" w:h="16838" w:code="9"/>
      <w:pgMar w:top="1985" w:right="127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4C2FA" w14:textId="77777777" w:rsidR="004A34D6" w:rsidRDefault="004A34D6" w:rsidP="0062174F">
      <w:pPr>
        <w:spacing w:after="0" w:line="240" w:lineRule="auto"/>
      </w:pPr>
      <w:r>
        <w:separator/>
      </w:r>
    </w:p>
  </w:endnote>
  <w:endnote w:type="continuationSeparator" w:id="0">
    <w:p w14:paraId="739D759E" w14:textId="77777777" w:rsidR="004A34D6" w:rsidRDefault="004A34D6" w:rsidP="0062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EE88" w14:textId="77777777" w:rsidR="009F049D" w:rsidRPr="005A3450" w:rsidRDefault="009F049D" w:rsidP="009F049D">
    <w:pPr>
      <w:pStyle w:val="Piedepgina"/>
      <w:jc w:val="left"/>
      <w:rPr>
        <w:lang w:val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1B3C" w14:textId="77777777" w:rsidR="004A34D6" w:rsidRPr="00FC707B" w:rsidRDefault="004A34D6" w:rsidP="00FC707B">
      <w:pPr>
        <w:tabs>
          <w:tab w:val="left" w:leader="dot" w:pos="8505"/>
        </w:tabs>
        <w:spacing w:before="160" w:after="80" w:line="240" w:lineRule="auto"/>
        <w:rPr>
          <w:u w:val="single"/>
        </w:rPr>
      </w:pPr>
      <w:r w:rsidRPr="00FC707B">
        <w:tab/>
      </w:r>
    </w:p>
  </w:footnote>
  <w:footnote w:type="continuationSeparator" w:id="0">
    <w:p w14:paraId="013CC3D7" w14:textId="77777777" w:rsidR="004A34D6" w:rsidRDefault="004A34D6" w:rsidP="00621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819"/>
    <w:multiLevelType w:val="multilevel"/>
    <w:tmpl w:val="0BC0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51FE2"/>
    <w:multiLevelType w:val="multilevel"/>
    <w:tmpl w:val="BB14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F07C6"/>
    <w:multiLevelType w:val="multilevel"/>
    <w:tmpl w:val="A8D4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7C4"/>
    <w:multiLevelType w:val="multilevel"/>
    <w:tmpl w:val="863E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16332"/>
    <w:multiLevelType w:val="hybridMultilevel"/>
    <w:tmpl w:val="711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32C0D"/>
    <w:multiLevelType w:val="multilevel"/>
    <w:tmpl w:val="EF3A120A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C53CF"/>
    <w:multiLevelType w:val="multilevel"/>
    <w:tmpl w:val="9418DCC8"/>
    <w:lvl w:ilvl="0">
      <w:start w:val="1"/>
      <w:numFmt w:val="bullet"/>
      <w:lvlText w:val="o"/>
      <w:lvlJc w:val="left"/>
      <w:pPr>
        <w:tabs>
          <w:tab w:val="num" w:pos="1072"/>
        </w:tabs>
        <w:ind w:left="1072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2"/>
        </w:tabs>
        <w:ind w:left="32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2"/>
        </w:tabs>
        <w:ind w:left="39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2"/>
        </w:tabs>
        <w:ind w:left="53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2"/>
        </w:tabs>
        <w:ind w:left="61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014FF"/>
    <w:multiLevelType w:val="multilevel"/>
    <w:tmpl w:val="E9E821F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E05914"/>
    <w:multiLevelType w:val="multilevel"/>
    <w:tmpl w:val="369C82A0"/>
    <w:lvl w:ilvl="0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6"/>
        </w:tabs>
        <w:ind w:left="322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6"/>
        </w:tabs>
        <w:ind w:left="394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6"/>
        </w:tabs>
        <w:ind w:left="538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F843E0"/>
    <w:multiLevelType w:val="multilevel"/>
    <w:tmpl w:val="5A92019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DF440D"/>
    <w:multiLevelType w:val="multilevel"/>
    <w:tmpl w:val="3020BADC"/>
    <w:lvl w:ilvl="0">
      <w:start w:val="1"/>
      <w:numFmt w:val="decimal"/>
      <w:pStyle w:val="Ttulo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6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1" w15:restartNumberingAfterBreak="0">
    <w:nsid w:val="41976E7C"/>
    <w:multiLevelType w:val="hybridMultilevel"/>
    <w:tmpl w:val="90BCF930"/>
    <w:lvl w:ilvl="0" w:tplc="5A18DEA8">
      <w:start w:val="1"/>
      <w:numFmt w:val="bullet"/>
      <w:pStyle w:val="Listaconvietas"/>
      <w:lvlText w:val="•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823F8"/>
    <w:multiLevelType w:val="hybridMultilevel"/>
    <w:tmpl w:val="6FA6BD26"/>
    <w:lvl w:ilvl="0" w:tplc="08090001">
      <w:start w:val="1"/>
      <w:numFmt w:val="bullet"/>
      <w:pStyle w:val="Prrafode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7304CB"/>
    <w:multiLevelType w:val="multilevel"/>
    <w:tmpl w:val="34EA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32698"/>
    <w:multiLevelType w:val="multilevel"/>
    <w:tmpl w:val="AAA4D9A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64C12"/>
    <w:multiLevelType w:val="multilevel"/>
    <w:tmpl w:val="3798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F07FC0"/>
    <w:multiLevelType w:val="multilevel"/>
    <w:tmpl w:val="7FBA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6"/>
  </w:num>
  <w:num w:numId="8">
    <w:abstractNumId w:val="12"/>
  </w:num>
  <w:num w:numId="9">
    <w:abstractNumId w:val="10"/>
  </w:num>
  <w:num w:numId="10">
    <w:abstractNumId w:val="13"/>
  </w:num>
  <w:num w:numId="11">
    <w:abstractNumId w:val="15"/>
  </w:num>
  <w:num w:numId="12">
    <w:abstractNumId w:val="0"/>
  </w:num>
  <w:num w:numId="13">
    <w:abstractNumId w:val="3"/>
  </w:num>
  <w:num w:numId="14">
    <w:abstractNumId w:val="11"/>
  </w:num>
  <w:num w:numId="15">
    <w:abstractNumId w:val="5"/>
  </w:num>
  <w:num w:numId="16">
    <w:abstractNumId w:val="2"/>
  </w:num>
  <w:num w:numId="17">
    <w:abstractNumId w:val="16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40"/>
    <w:rsid w:val="000120D9"/>
    <w:rsid w:val="00013AD8"/>
    <w:rsid w:val="00030CB6"/>
    <w:rsid w:val="00053F8D"/>
    <w:rsid w:val="00066AB8"/>
    <w:rsid w:val="000751FA"/>
    <w:rsid w:val="00091EBF"/>
    <w:rsid w:val="000A42FE"/>
    <w:rsid w:val="000B08EB"/>
    <w:rsid w:val="000B0D8B"/>
    <w:rsid w:val="000C5E8C"/>
    <w:rsid w:val="000D5A21"/>
    <w:rsid w:val="000E1BD4"/>
    <w:rsid w:val="000E420A"/>
    <w:rsid w:val="000E5E40"/>
    <w:rsid w:val="000F11E3"/>
    <w:rsid w:val="000F39F8"/>
    <w:rsid w:val="00107E96"/>
    <w:rsid w:val="001138CC"/>
    <w:rsid w:val="00116FED"/>
    <w:rsid w:val="00143091"/>
    <w:rsid w:val="001725B6"/>
    <w:rsid w:val="00176E08"/>
    <w:rsid w:val="001869F2"/>
    <w:rsid w:val="00195B34"/>
    <w:rsid w:val="001B6690"/>
    <w:rsid w:val="001F55C8"/>
    <w:rsid w:val="00224112"/>
    <w:rsid w:val="0023045C"/>
    <w:rsid w:val="00270DE2"/>
    <w:rsid w:val="00271A70"/>
    <w:rsid w:val="00272B00"/>
    <w:rsid w:val="00283B29"/>
    <w:rsid w:val="002A0012"/>
    <w:rsid w:val="002C6820"/>
    <w:rsid w:val="002D1225"/>
    <w:rsid w:val="003014E7"/>
    <w:rsid w:val="003028F9"/>
    <w:rsid w:val="003092AF"/>
    <w:rsid w:val="003162AD"/>
    <w:rsid w:val="0031640A"/>
    <w:rsid w:val="00316FDD"/>
    <w:rsid w:val="00351EBD"/>
    <w:rsid w:val="00353ACB"/>
    <w:rsid w:val="003637EE"/>
    <w:rsid w:val="003667E8"/>
    <w:rsid w:val="003802DC"/>
    <w:rsid w:val="00390848"/>
    <w:rsid w:val="003A4F3A"/>
    <w:rsid w:val="003C0606"/>
    <w:rsid w:val="003D0624"/>
    <w:rsid w:val="003D23AE"/>
    <w:rsid w:val="003E3204"/>
    <w:rsid w:val="003F34FF"/>
    <w:rsid w:val="003F575E"/>
    <w:rsid w:val="00401129"/>
    <w:rsid w:val="00430947"/>
    <w:rsid w:val="004360E0"/>
    <w:rsid w:val="00445497"/>
    <w:rsid w:val="00447BC1"/>
    <w:rsid w:val="00454F70"/>
    <w:rsid w:val="00461BC5"/>
    <w:rsid w:val="00461E87"/>
    <w:rsid w:val="004620BF"/>
    <w:rsid w:val="00484194"/>
    <w:rsid w:val="0049486B"/>
    <w:rsid w:val="004A34D6"/>
    <w:rsid w:val="004A7E1D"/>
    <w:rsid w:val="004A7FDD"/>
    <w:rsid w:val="004B5714"/>
    <w:rsid w:val="004C46CB"/>
    <w:rsid w:val="004D2814"/>
    <w:rsid w:val="004D4FAF"/>
    <w:rsid w:val="004E38D3"/>
    <w:rsid w:val="004E6444"/>
    <w:rsid w:val="004E6523"/>
    <w:rsid w:val="004F6048"/>
    <w:rsid w:val="00502E29"/>
    <w:rsid w:val="00504A85"/>
    <w:rsid w:val="00513691"/>
    <w:rsid w:val="005377F1"/>
    <w:rsid w:val="005426E2"/>
    <w:rsid w:val="005460E0"/>
    <w:rsid w:val="00546D6C"/>
    <w:rsid w:val="005475FE"/>
    <w:rsid w:val="00547DF2"/>
    <w:rsid w:val="00590A33"/>
    <w:rsid w:val="00592033"/>
    <w:rsid w:val="005A3450"/>
    <w:rsid w:val="005B4EB6"/>
    <w:rsid w:val="005C1441"/>
    <w:rsid w:val="005D2451"/>
    <w:rsid w:val="005E47C0"/>
    <w:rsid w:val="005F77C1"/>
    <w:rsid w:val="00612446"/>
    <w:rsid w:val="0062174F"/>
    <w:rsid w:val="0064322E"/>
    <w:rsid w:val="00647866"/>
    <w:rsid w:val="00675204"/>
    <w:rsid w:val="006912D6"/>
    <w:rsid w:val="00695FA8"/>
    <w:rsid w:val="00696335"/>
    <w:rsid w:val="006A05E8"/>
    <w:rsid w:val="006A7FB2"/>
    <w:rsid w:val="006D4E84"/>
    <w:rsid w:val="00722AED"/>
    <w:rsid w:val="00724627"/>
    <w:rsid w:val="00724A01"/>
    <w:rsid w:val="00732030"/>
    <w:rsid w:val="00741C64"/>
    <w:rsid w:val="00752417"/>
    <w:rsid w:val="007559A8"/>
    <w:rsid w:val="00755FBD"/>
    <w:rsid w:val="007625D4"/>
    <w:rsid w:val="00777AA3"/>
    <w:rsid w:val="007868CE"/>
    <w:rsid w:val="007954BD"/>
    <w:rsid w:val="007A2EED"/>
    <w:rsid w:val="007A7C7D"/>
    <w:rsid w:val="007B4D58"/>
    <w:rsid w:val="007B7F17"/>
    <w:rsid w:val="007D172E"/>
    <w:rsid w:val="007D2DB6"/>
    <w:rsid w:val="007E5BBC"/>
    <w:rsid w:val="007F36CC"/>
    <w:rsid w:val="007F4B8B"/>
    <w:rsid w:val="00820678"/>
    <w:rsid w:val="00823E5C"/>
    <w:rsid w:val="00833780"/>
    <w:rsid w:val="00844D1C"/>
    <w:rsid w:val="008516CB"/>
    <w:rsid w:val="008521D4"/>
    <w:rsid w:val="00863391"/>
    <w:rsid w:val="0086416D"/>
    <w:rsid w:val="00867A7D"/>
    <w:rsid w:val="008A6A77"/>
    <w:rsid w:val="008B19CF"/>
    <w:rsid w:val="008B725B"/>
    <w:rsid w:val="008C08C1"/>
    <w:rsid w:val="008C24B7"/>
    <w:rsid w:val="008D28A9"/>
    <w:rsid w:val="008D7A49"/>
    <w:rsid w:val="009030F7"/>
    <w:rsid w:val="0090485F"/>
    <w:rsid w:val="00912719"/>
    <w:rsid w:val="00921002"/>
    <w:rsid w:val="00930CDB"/>
    <w:rsid w:val="00931A51"/>
    <w:rsid w:val="009324C9"/>
    <w:rsid w:val="009468CB"/>
    <w:rsid w:val="00953DFA"/>
    <w:rsid w:val="0095760E"/>
    <w:rsid w:val="009754D8"/>
    <w:rsid w:val="009836E8"/>
    <w:rsid w:val="009A1B55"/>
    <w:rsid w:val="009B0107"/>
    <w:rsid w:val="009B29A9"/>
    <w:rsid w:val="009B2FE6"/>
    <w:rsid w:val="009B44A6"/>
    <w:rsid w:val="009C3E58"/>
    <w:rsid w:val="009D56B6"/>
    <w:rsid w:val="009E255C"/>
    <w:rsid w:val="009E47CA"/>
    <w:rsid w:val="009F049D"/>
    <w:rsid w:val="009F7A94"/>
    <w:rsid w:val="00A02FB5"/>
    <w:rsid w:val="00A057B6"/>
    <w:rsid w:val="00A125DD"/>
    <w:rsid w:val="00A13146"/>
    <w:rsid w:val="00A1515C"/>
    <w:rsid w:val="00A27ADC"/>
    <w:rsid w:val="00A52A04"/>
    <w:rsid w:val="00A70CFF"/>
    <w:rsid w:val="00A766BB"/>
    <w:rsid w:val="00A90369"/>
    <w:rsid w:val="00AB011D"/>
    <w:rsid w:val="00AB5D40"/>
    <w:rsid w:val="00AC4408"/>
    <w:rsid w:val="00AE4873"/>
    <w:rsid w:val="00AF0282"/>
    <w:rsid w:val="00B020C9"/>
    <w:rsid w:val="00B14103"/>
    <w:rsid w:val="00B45AAE"/>
    <w:rsid w:val="00B52980"/>
    <w:rsid w:val="00B67530"/>
    <w:rsid w:val="00B718AC"/>
    <w:rsid w:val="00B72690"/>
    <w:rsid w:val="00B956C5"/>
    <w:rsid w:val="00BA0FCC"/>
    <w:rsid w:val="00BA79BA"/>
    <w:rsid w:val="00BB1561"/>
    <w:rsid w:val="00BB753A"/>
    <w:rsid w:val="00BC54EE"/>
    <w:rsid w:val="00BD7B3E"/>
    <w:rsid w:val="00BF7C41"/>
    <w:rsid w:val="00C11E5C"/>
    <w:rsid w:val="00C2689E"/>
    <w:rsid w:val="00C2711D"/>
    <w:rsid w:val="00C36FA0"/>
    <w:rsid w:val="00C42888"/>
    <w:rsid w:val="00C50886"/>
    <w:rsid w:val="00C80630"/>
    <w:rsid w:val="00C94E02"/>
    <w:rsid w:val="00C97D19"/>
    <w:rsid w:val="00CA0494"/>
    <w:rsid w:val="00CA2112"/>
    <w:rsid w:val="00CB6097"/>
    <w:rsid w:val="00D01CC2"/>
    <w:rsid w:val="00D0276E"/>
    <w:rsid w:val="00D301D4"/>
    <w:rsid w:val="00D30B31"/>
    <w:rsid w:val="00D535B2"/>
    <w:rsid w:val="00D61014"/>
    <w:rsid w:val="00D63E97"/>
    <w:rsid w:val="00D727A7"/>
    <w:rsid w:val="00D84BA0"/>
    <w:rsid w:val="00D93F1E"/>
    <w:rsid w:val="00D97E0F"/>
    <w:rsid w:val="00DC01B3"/>
    <w:rsid w:val="00DD58AF"/>
    <w:rsid w:val="00DD7CEB"/>
    <w:rsid w:val="00DF78D7"/>
    <w:rsid w:val="00E00314"/>
    <w:rsid w:val="00E14EEF"/>
    <w:rsid w:val="00E15811"/>
    <w:rsid w:val="00E24893"/>
    <w:rsid w:val="00E421E1"/>
    <w:rsid w:val="00E44030"/>
    <w:rsid w:val="00E456A6"/>
    <w:rsid w:val="00E5699E"/>
    <w:rsid w:val="00E642E0"/>
    <w:rsid w:val="00E7349A"/>
    <w:rsid w:val="00E93582"/>
    <w:rsid w:val="00E951DD"/>
    <w:rsid w:val="00EB41BA"/>
    <w:rsid w:val="00EB7562"/>
    <w:rsid w:val="00EC56C7"/>
    <w:rsid w:val="00EC6D93"/>
    <w:rsid w:val="00ED05A8"/>
    <w:rsid w:val="00ED5DA7"/>
    <w:rsid w:val="00ED720D"/>
    <w:rsid w:val="00EE2E72"/>
    <w:rsid w:val="00F039EE"/>
    <w:rsid w:val="00F13682"/>
    <w:rsid w:val="00F208C4"/>
    <w:rsid w:val="00F211E1"/>
    <w:rsid w:val="00F21B53"/>
    <w:rsid w:val="00F2659E"/>
    <w:rsid w:val="00F34E85"/>
    <w:rsid w:val="00F37989"/>
    <w:rsid w:val="00F57AB6"/>
    <w:rsid w:val="00F6763F"/>
    <w:rsid w:val="00F706D1"/>
    <w:rsid w:val="00F81216"/>
    <w:rsid w:val="00F841EC"/>
    <w:rsid w:val="00FB4E46"/>
    <w:rsid w:val="00FC4176"/>
    <w:rsid w:val="00FC4B7E"/>
    <w:rsid w:val="00FC707B"/>
    <w:rsid w:val="00FD38F0"/>
    <w:rsid w:val="00FD468E"/>
    <w:rsid w:val="00FD619A"/>
    <w:rsid w:val="00FE7B1C"/>
    <w:rsid w:val="017F9AD0"/>
    <w:rsid w:val="019CD8B8"/>
    <w:rsid w:val="02A68732"/>
    <w:rsid w:val="02E337E0"/>
    <w:rsid w:val="04032015"/>
    <w:rsid w:val="050FF88B"/>
    <w:rsid w:val="05123B49"/>
    <w:rsid w:val="0512532D"/>
    <w:rsid w:val="0514D988"/>
    <w:rsid w:val="05C2FA29"/>
    <w:rsid w:val="062790E5"/>
    <w:rsid w:val="0657FBA8"/>
    <w:rsid w:val="07A189F4"/>
    <w:rsid w:val="08ABB1EE"/>
    <w:rsid w:val="08D8F13F"/>
    <w:rsid w:val="09663071"/>
    <w:rsid w:val="09D316C9"/>
    <w:rsid w:val="0A507E6D"/>
    <w:rsid w:val="0A5A2BEB"/>
    <w:rsid w:val="0B39CBCF"/>
    <w:rsid w:val="0BB53A80"/>
    <w:rsid w:val="0D98D61F"/>
    <w:rsid w:val="0DA43972"/>
    <w:rsid w:val="0DE5E881"/>
    <w:rsid w:val="0EF5ED87"/>
    <w:rsid w:val="0F42E367"/>
    <w:rsid w:val="0F4DFE22"/>
    <w:rsid w:val="0FAF2FD0"/>
    <w:rsid w:val="0FDB85D4"/>
    <w:rsid w:val="10294519"/>
    <w:rsid w:val="12A34336"/>
    <w:rsid w:val="12F1D4B3"/>
    <w:rsid w:val="151D1FC3"/>
    <w:rsid w:val="180901A3"/>
    <w:rsid w:val="196AF021"/>
    <w:rsid w:val="19B8C98E"/>
    <w:rsid w:val="1B5293EC"/>
    <w:rsid w:val="1C52F532"/>
    <w:rsid w:val="1D19E353"/>
    <w:rsid w:val="1D1CE45A"/>
    <w:rsid w:val="1DF0212B"/>
    <w:rsid w:val="1F107E47"/>
    <w:rsid w:val="1FA05996"/>
    <w:rsid w:val="1FDF9BBE"/>
    <w:rsid w:val="20196CD4"/>
    <w:rsid w:val="2112C43A"/>
    <w:rsid w:val="212BEE17"/>
    <w:rsid w:val="2233AE50"/>
    <w:rsid w:val="24667446"/>
    <w:rsid w:val="2551A33C"/>
    <w:rsid w:val="25772A88"/>
    <w:rsid w:val="259FD1DD"/>
    <w:rsid w:val="271C1472"/>
    <w:rsid w:val="275AEB85"/>
    <w:rsid w:val="279C3F5D"/>
    <w:rsid w:val="29208D87"/>
    <w:rsid w:val="29E301D8"/>
    <w:rsid w:val="2A0B3EA2"/>
    <w:rsid w:val="2AC3DB64"/>
    <w:rsid w:val="2B65515C"/>
    <w:rsid w:val="2BC67AB1"/>
    <w:rsid w:val="2C1DEEAC"/>
    <w:rsid w:val="2C2D5FF7"/>
    <w:rsid w:val="2D9B29AC"/>
    <w:rsid w:val="2E007EDE"/>
    <w:rsid w:val="2E04C28D"/>
    <w:rsid w:val="2E679F86"/>
    <w:rsid w:val="2E8EA64A"/>
    <w:rsid w:val="2EA8216F"/>
    <w:rsid w:val="2EDB8AF1"/>
    <w:rsid w:val="3110D711"/>
    <w:rsid w:val="31427F73"/>
    <w:rsid w:val="31E82AD3"/>
    <w:rsid w:val="333DB33E"/>
    <w:rsid w:val="349C58AE"/>
    <w:rsid w:val="35CECA0B"/>
    <w:rsid w:val="37AE3897"/>
    <w:rsid w:val="37BBBDEE"/>
    <w:rsid w:val="37DCE46E"/>
    <w:rsid w:val="38318F2B"/>
    <w:rsid w:val="384BF49C"/>
    <w:rsid w:val="38982CB4"/>
    <w:rsid w:val="3AA8B4D3"/>
    <w:rsid w:val="3C2A5948"/>
    <w:rsid w:val="3CC7196C"/>
    <w:rsid w:val="3E8F1BDC"/>
    <w:rsid w:val="3EB0ECD4"/>
    <w:rsid w:val="3F044E99"/>
    <w:rsid w:val="403B88F6"/>
    <w:rsid w:val="40A39AF7"/>
    <w:rsid w:val="40E2FC53"/>
    <w:rsid w:val="431C8AF9"/>
    <w:rsid w:val="43D3C9D9"/>
    <w:rsid w:val="44799BD2"/>
    <w:rsid w:val="4480EFE5"/>
    <w:rsid w:val="44FBD91E"/>
    <w:rsid w:val="45150F75"/>
    <w:rsid w:val="45453F23"/>
    <w:rsid w:val="45799CA1"/>
    <w:rsid w:val="48205C63"/>
    <w:rsid w:val="488AFE5B"/>
    <w:rsid w:val="48932F0A"/>
    <w:rsid w:val="48B317ED"/>
    <w:rsid w:val="4C7E7735"/>
    <w:rsid w:val="4C955096"/>
    <w:rsid w:val="4D4C5536"/>
    <w:rsid w:val="4D99D326"/>
    <w:rsid w:val="4DEADBFF"/>
    <w:rsid w:val="4E61910E"/>
    <w:rsid w:val="4EDAE9ED"/>
    <w:rsid w:val="501CC199"/>
    <w:rsid w:val="5066DE1D"/>
    <w:rsid w:val="508FF46C"/>
    <w:rsid w:val="509C5CBB"/>
    <w:rsid w:val="50D2A726"/>
    <w:rsid w:val="513CEF9C"/>
    <w:rsid w:val="5281B485"/>
    <w:rsid w:val="53276283"/>
    <w:rsid w:val="541895B0"/>
    <w:rsid w:val="54706610"/>
    <w:rsid w:val="54FE1DC9"/>
    <w:rsid w:val="5552AE94"/>
    <w:rsid w:val="5552C4F5"/>
    <w:rsid w:val="55930627"/>
    <w:rsid w:val="565C9A7A"/>
    <w:rsid w:val="57A2107F"/>
    <w:rsid w:val="57B05EB1"/>
    <w:rsid w:val="58675D73"/>
    <w:rsid w:val="5876E768"/>
    <w:rsid w:val="58CB48A1"/>
    <w:rsid w:val="59437559"/>
    <w:rsid w:val="594423FD"/>
    <w:rsid w:val="5A8BE1E4"/>
    <w:rsid w:val="5B0DC6F9"/>
    <w:rsid w:val="5B876F83"/>
    <w:rsid w:val="5BD57E5E"/>
    <w:rsid w:val="5D3F4A0F"/>
    <w:rsid w:val="5E8906D7"/>
    <w:rsid w:val="6041E921"/>
    <w:rsid w:val="60BC8D4B"/>
    <w:rsid w:val="618DFD57"/>
    <w:rsid w:val="619AA6DB"/>
    <w:rsid w:val="64730635"/>
    <w:rsid w:val="658CAA87"/>
    <w:rsid w:val="65FCAF20"/>
    <w:rsid w:val="661193EC"/>
    <w:rsid w:val="663AFC3B"/>
    <w:rsid w:val="66F9E8FE"/>
    <w:rsid w:val="67129BC0"/>
    <w:rsid w:val="672833C9"/>
    <w:rsid w:val="67623E18"/>
    <w:rsid w:val="6790406F"/>
    <w:rsid w:val="67CAA271"/>
    <w:rsid w:val="6863B2C5"/>
    <w:rsid w:val="68ADB408"/>
    <w:rsid w:val="695DBD79"/>
    <w:rsid w:val="6CEB4C7A"/>
    <w:rsid w:val="6D0E9820"/>
    <w:rsid w:val="6D2378CA"/>
    <w:rsid w:val="6D281363"/>
    <w:rsid w:val="6D4A93AE"/>
    <w:rsid w:val="6EBEC3A8"/>
    <w:rsid w:val="6F2F6C15"/>
    <w:rsid w:val="705C36A7"/>
    <w:rsid w:val="71959BE4"/>
    <w:rsid w:val="719B6424"/>
    <w:rsid w:val="71C47F26"/>
    <w:rsid w:val="71D62B9F"/>
    <w:rsid w:val="7209E8F4"/>
    <w:rsid w:val="722CBA65"/>
    <w:rsid w:val="7283C835"/>
    <w:rsid w:val="7288ECA8"/>
    <w:rsid w:val="73215466"/>
    <w:rsid w:val="745A0CFE"/>
    <w:rsid w:val="75B577BC"/>
    <w:rsid w:val="75BB0DCD"/>
    <w:rsid w:val="768EF144"/>
    <w:rsid w:val="76B11796"/>
    <w:rsid w:val="76F65B46"/>
    <w:rsid w:val="77F6633D"/>
    <w:rsid w:val="79270882"/>
    <w:rsid w:val="7A0242ED"/>
    <w:rsid w:val="7A2266CE"/>
    <w:rsid w:val="7B09E938"/>
    <w:rsid w:val="7B9ED63E"/>
    <w:rsid w:val="7C0B284A"/>
    <w:rsid w:val="7C570EF3"/>
    <w:rsid w:val="7C6D03D0"/>
    <w:rsid w:val="7DFA48F6"/>
    <w:rsid w:val="7E413D6F"/>
    <w:rsid w:val="7F29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C7126"/>
  <w15:chartTrackingRefBased/>
  <w15:docId w15:val="{9622E0F9-A37A-4544-887E-BD401C88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NRC"/>
    <w:qFormat/>
    <w:rsid w:val="00732030"/>
    <w:rPr>
      <w:color w:val="464645" w:themeColor="text1"/>
      <w:kern w:val="0"/>
      <w:sz w:val="20"/>
      <w:lang w:val="en-GB"/>
      <w14:ligatures w14:val="none"/>
    </w:rPr>
  </w:style>
  <w:style w:type="paragraph" w:styleId="Ttulo1">
    <w:name w:val="heading 1"/>
    <w:aliases w:val="Heading 1 NRC"/>
    <w:basedOn w:val="Normal"/>
    <w:next w:val="Normal"/>
    <w:link w:val="Ttulo1Car"/>
    <w:uiPriority w:val="9"/>
    <w:qFormat/>
    <w:rsid w:val="004A7E1D"/>
    <w:pPr>
      <w:keepNext/>
      <w:keepLines/>
      <w:numPr>
        <w:numId w:val="9"/>
      </w:numPr>
      <w:pBdr>
        <w:top w:val="single" w:sz="4" w:space="6" w:color="FF7602" w:themeColor="accent1"/>
      </w:pBdr>
      <w:spacing w:before="240" w:after="480"/>
      <w:outlineLvl w:val="0"/>
    </w:pPr>
    <w:rPr>
      <w:rFonts w:asciiTheme="majorHAnsi" w:eastAsiaTheme="majorEastAsia" w:hAnsiTheme="majorHAnsi" w:cstheme="majorBidi"/>
      <w:color w:val="FF7602" w:themeColor="accent1"/>
      <w:sz w:val="36"/>
      <w:szCs w:val="32"/>
    </w:rPr>
  </w:style>
  <w:style w:type="paragraph" w:styleId="Ttulo2">
    <w:name w:val="heading 2"/>
    <w:aliases w:val="Heading 2 NRC"/>
    <w:basedOn w:val="Normal"/>
    <w:next w:val="Normal"/>
    <w:link w:val="Ttulo2Car"/>
    <w:uiPriority w:val="9"/>
    <w:unhideWhenUsed/>
    <w:qFormat/>
    <w:rsid w:val="00F37989"/>
    <w:pPr>
      <w:keepNext/>
      <w:keepLines/>
      <w:numPr>
        <w:ilvl w:val="1"/>
        <w:numId w:val="9"/>
      </w:numPr>
      <w:spacing w:before="400" w:after="200"/>
      <w:outlineLvl w:val="1"/>
    </w:pPr>
    <w:rPr>
      <w:rFonts w:asciiTheme="majorHAnsi" w:eastAsiaTheme="majorEastAsia" w:hAnsiTheme="majorHAnsi" w:cstheme="majorBidi"/>
      <w:color w:val="A6A6A5" w:themeColor="text2"/>
      <w:sz w:val="32"/>
      <w:szCs w:val="26"/>
    </w:rPr>
  </w:style>
  <w:style w:type="paragraph" w:styleId="Ttulo3">
    <w:name w:val="heading 3"/>
    <w:aliases w:val="Heading 3 NRC"/>
    <w:basedOn w:val="Normal"/>
    <w:next w:val="Normal"/>
    <w:link w:val="Ttulo3Car"/>
    <w:uiPriority w:val="9"/>
    <w:unhideWhenUsed/>
    <w:qFormat/>
    <w:rsid w:val="0062174F"/>
    <w:pPr>
      <w:keepNext/>
      <w:keepLines/>
      <w:numPr>
        <w:ilvl w:val="2"/>
        <w:numId w:val="9"/>
      </w:numPr>
      <w:spacing w:before="200" w:after="40"/>
      <w:outlineLvl w:val="2"/>
    </w:pPr>
    <w:rPr>
      <w:rFonts w:ascii="Franklin Gothic Medium" w:eastAsiaTheme="majorEastAsia" w:hAnsi="Franklin Gothic Medium" w:cstheme="majorBidi"/>
      <w:szCs w:val="24"/>
    </w:rPr>
  </w:style>
  <w:style w:type="paragraph" w:styleId="Ttulo4">
    <w:name w:val="heading 4"/>
    <w:aliases w:val="Heading 4 NRC"/>
    <w:basedOn w:val="Normal"/>
    <w:next w:val="Normal"/>
    <w:link w:val="Ttulo4Car"/>
    <w:uiPriority w:val="9"/>
    <w:unhideWhenUsed/>
    <w:qFormat/>
    <w:rsid w:val="0062174F"/>
    <w:pPr>
      <w:keepNext/>
      <w:keepLines/>
      <w:spacing w:before="200" w:after="40"/>
      <w:outlineLvl w:val="3"/>
    </w:pPr>
    <w:rPr>
      <w:rFonts w:ascii="Franklin Gothic Medium" w:eastAsiaTheme="majorEastAsia" w:hAnsi="Franklin Gothic Medium" w:cstheme="majorBidi"/>
      <w:iCs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0E5E40"/>
    <w:pPr>
      <w:keepNext/>
      <w:keepLines/>
      <w:spacing w:before="80" w:after="40"/>
      <w:outlineLvl w:val="4"/>
    </w:pPr>
    <w:rPr>
      <w:rFonts w:eastAsiaTheme="majorEastAsia" w:cstheme="majorBidi"/>
      <w:color w:val="C0570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0E5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78785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0E5E40"/>
    <w:pPr>
      <w:keepNext/>
      <w:keepLines/>
      <w:spacing w:before="40" w:after="0"/>
      <w:outlineLvl w:val="6"/>
    </w:pPr>
    <w:rPr>
      <w:rFonts w:eastAsiaTheme="majorEastAsia" w:cstheme="majorBidi"/>
      <w:color w:val="878785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0E5E40"/>
    <w:pPr>
      <w:keepNext/>
      <w:keepLines/>
      <w:spacing w:after="0"/>
      <w:outlineLvl w:val="7"/>
    </w:pPr>
    <w:rPr>
      <w:rFonts w:eastAsiaTheme="majorEastAsia" w:cstheme="majorBidi"/>
      <w:i/>
      <w:iCs/>
      <w:color w:val="626261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0E5E40"/>
    <w:pPr>
      <w:keepNext/>
      <w:keepLines/>
      <w:spacing w:after="0"/>
      <w:outlineLvl w:val="8"/>
    </w:pPr>
    <w:rPr>
      <w:rFonts w:eastAsiaTheme="majorEastAsia" w:cstheme="majorBidi"/>
      <w:color w:val="626261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Heading 1 NRC Car"/>
    <w:basedOn w:val="Fuentedeprrafopredeter"/>
    <w:link w:val="Ttulo1"/>
    <w:uiPriority w:val="9"/>
    <w:rsid w:val="004A7E1D"/>
    <w:rPr>
      <w:rFonts w:asciiTheme="majorHAnsi" w:eastAsiaTheme="majorEastAsia" w:hAnsiTheme="majorHAnsi" w:cstheme="majorBidi"/>
      <w:color w:val="FF7602" w:themeColor="accent1"/>
      <w:kern w:val="0"/>
      <w:sz w:val="36"/>
      <w:szCs w:val="32"/>
      <w:lang w:val="en-GB"/>
      <w14:ligatures w14:val="none"/>
    </w:rPr>
  </w:style>
  <w:style w:type="character" w:customStyle="1" w:styleId="Ttulo2Car">
    <w:name w:val="Título 2 Car"/>
    <w:aliases w:val="Heading 2 NRC Car"/>
    <w:basedOn w:val="Fuentedeprrafopredeter"/>
    <w:link w:val="Ttulo2"/>
    <w:uiPriority w:val="9"/>
    <w:rsid w:val="00F37989"/>
    <w:rPr>
      <w:rFonts w:asciiTheme="majorHAnsi" w:eastAsiaTheme="majorEastAsia" w:hAnsiTheme="majorHAnsi" w:cstheme="majorBidi"/>
      <w:color w:val="A6A6A5" w:themeColor="text2"/>
      <w:kern w:val="0"/>
      <w:sz w:val="32"/>
      <w:szCs w:val="26"/>
      <w:lang w:val="en-GB"/>
      <w14:ligatures w14:val="none"/>
    </w:rPr>
  </w:style>
  <w:style w:type="character" w:customStyle="1" w:styleId="Ttulo3Car">
    <w:name w:val="Título 3 Car"/>
    <w:aliases w:val="Heading 3 NRC Car"/>
    <w:basedOn w:val="Fuentedeprrafopredeter"/>
    <w:link w:val="Ttulo3"/>
    <w:uiPriority w:val="9"/>
    <w:rsid w:val="0062174F"/>
    <w:rPr>
      <w:rFonts w:ascii="Franklin Gothic Medium" w:eastAsiaTheme="majorEastAsia" w:hAnsi="Franklin Gothic Medium" w:cstheme="majorBidi"/>
      <w:color w:val="464645" w:themeColor="text1"/>
      <w:kern w:val="0"/>
      <w:sz w:val="20"/>
      <w:szCs w:val="24"/>
      <w:lang w:val="en-GB"/>
      <w14:ligatures w14:val="none"/>
    </w:rPr>
  </w:style>
  <w:style w:type="character" w:customStyle="1" w:styleId="Ttulo4Car">
    <w:name w:val="Título 4 Car"/>
    <w:aliases w:val="Heading 4 NRC Car"/>
    <w:basedOn w:val="Fuentedeprrafopredeter"/>
    <w:link w:val="Ttulo4"/>
    <w:uiPriority w:val="9"/>
    <w:rsid w:val="0062174F"/>
    <w:rPr>
      <w:rFonts w:ascii="Franklin Gothic Medium" w:eastAsiaTheme="majorEastAsia" w:hAnsi="Franklin Gothic Medium" w:cstheme="majorBidi"/>
      <w:iCs/>
      <w:color w:val="464645" w:themeColor="text1"/>
      <w:sz w:val="20"/>
      <w:lang w:val="en-GB"/>
    </w:rPr>
  </w:style>
  <w:style w:type="paragraph" w:customStyle="1" w:styleId="IngressNRC">
    <w:name w:val="Ingress NRC"/>
    <w:basedOn w:val="Normal"/>
    <w:qFormat/>
    <w:rsid w:val="007B7F17"/>
    <w:pPr>
      <w:spacing w:after="960"/>
    </w:pPr>
    <w:rPr>
      <w:sz w:val="24"/>
    </w:rPr>
  </w:style>
  <w:style w:type="paragraph" w:styleId="Listaconvietas">
    <w:name w:val="List Bullet"/>
    <w:aliases w:val="Bullet list NRC"/>
    <w:basedOn w:val="Normal"/>
    <w:uiPriority w:val="99"/>
    <w:qFormat/>
    <w:rsid w:val="00A90369"/>
    <w:pPr>
      <w:numPr>
        <w:numId w:val="14"/>
      </w:numPr>
      <w:spacing w:after="80"/>
      <w:ind w:left="340" w:hanging="340"/>
    </w:pPr>
  </w:style>
  <w:style w:type="paragraph" w:styleId="Prrafodelista">
    <w:name w:val="List Paragraph"/>
    <w:aliases w:val="List NRC"/>
    <w:basedOn w:val="Normal"/>
    <w:uiPriority w:val="34"/>
    <w:qFormat/>
    <w:rsid w:val="005475FE"/>
    <w:pPr>
      <w:numPr>
        <w:numId w:val="8"/>
      </w:numPr>
      <w:spacing w:line="288" w:lineRule="auto"/>
      <w:contextualSpacing/>
    </w:pPr>
  </w:style>
  <w:style w:type="paragraph" w:styleId="Cita">
    <w:name w:val="Quote"/>
    <w:aliases w:val="Quote NRC"/>
    <w:basedOn w:val="Normal"/>
    <w:next w:val="Normal"/>
    <w:link w:val="CitaCar"/>
    <w:uiPriority w:val="29"/>
    <w:qFormat/>
    <w:rsid w:val="00912719"/>
    <w:pPr>
      <w:spacing w:before="240" w:after="240"/>
    </w:pPr>
    <w:rPr>
      <w:rFonts w:ascii="Garamond" w:hAnsi="Garamond"/>
      <w:i/>
      <w:iCs/>
      <w:sz w:val="32"/>
    </w:rPr>
  </w:style>
  <w:style w:type="character" w:customStyle="1" w:styleId="CitaCar">
    <w:name w:val="Cita Car"/>
    <w:aliases w:val="Quote NRC Car"/>
    <w:basedOn w:val="Fuentedeprrafopredeter"/>
    <w:link w:val="Cita"/>
    <w:uiPriority w:val="29"/>
    <w:rsid w:val="00912719"/>
    <w:rPr>
      <w:rFonts w:ascii="Garamond" w:hAnsi="Garamond"/>
      <w:i/>
      <w:iCs/>
      <w:color w:val="464645" w:themeColor="text1"/>
      <w:sz w:val="32"/>
      <w:lang w:val="en-GB"/>
    </w:rPr>
  </w:style>
  <w:style w:type="paragraph" w:styleId="Encabezado">
    <w:name w:val="header"/>
    <w:basedOn w:val="Normal"/>
    <w:link w:val="EncabezadoCar"/>
    <w:uiPriority w:val="99"/>
    <w:semiHidden/>
    <w:rsid w:val="006217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F575E"/>
    <w:rPr>
      <w:color w:val="464645" w:themeColor="text1"/>
      <w:sz w:val="20"/>
      <w:lang w:val="en-GB"/>
    </w:rPr>
  </w:style>
  <w:style w:type="paragraph" w:styleId="Piedepgina">
    <w:name w:val="footer"/>
    <w:basedOn w:val="Normal"/>
    <w:link w:val="PiedepginaCar"/>
    <w:uiPriority w:val="99"/>
    <w:semiHidden/>
    <w:rsid w:val="009F049D"/>
    <w:pPr>
      <w:tabs>
        <w:tab w:val="right" w:pos="3827"/>
        <w:tab w:val="center" w:pos="4491"/>
        <w:tab w:val="left" w:pos="5160"/>
      </w:tabs>
      <w:spacing w:after="0" w:line="240" w:lineRule="auto"/>
      <w:jc w:val="center"/>
    </w:pPr>
    <w:rPr>
      <w:caps/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F575E"/>
    <w:rPr>
      <w:caps/>
      <w:color w:val="464645" w:themeColor="text1"/>
      <w:sz w:val="18"/>
      <w:lang w:val="en-GB"/>
    </w:rPr>
  </w:style>
  <w:style w:type="table" w:styleId="Tablaconcuadrcula">
    <w:name w:val="Table Grid"/>
    <w:basedOn w:val="Tablanormal"/>
    <w:uiPriority w:val="39"/>
    <w:rsid w:val="00912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RCTabelll">
    <w:name w:val="NRC Tabelll"/>
    <w:basedOn w:val="Tablanormal"/>
    <w:uiPriority w:val="99"/>
    <w:rsid w:val="003162AD"/>
    <w:pPr>
      <w:spacing w:after="0" w:line="240" w:lineRule="auto"/>
      <w:jc w:val="center"/>
    </w:pPr>
    <w:rPr>
      <w:sz w:val="18"/>
    </w:rPr>
    <w:tblPr/>
    <w:tblStylePr w:type="firstRow">
      <w:rPr>
        <w:rFonts w:ascii="Franklin Gothic Medium" w:hAnsi="Franklin Gothic Medium"/>
        <w:sz w:val="18"/>
      </w:rPr>
    </w:tblStylePr>
    <w:tblStylePr w:type="lastRow">
      <w:pPr>
        <w:jc w:val="left"/>
      </w:pPr>
      <w:rPr>
        <w:rFonts w:asciiTheme="minorHAnsi" w:hAnsiTheme="minorHAnsi"/>
        <w:sz w:val="16"/>
      </w:rPr>
    </w:tblStylePr>
    <w:tblStylePr w:type="firstCol">
      <w:pPr>
        <w:jc w:val="left"/>
      </w:pPr>
      <w:rPr>
        <w:rFonts w:ascii="Franklin Gothic Medium" w:hAnsi="Franklin Gothic Medium"/>
        <w:sz w:val="18"/>
      </w:rPr>
    </w:tblStylePr>
  </w:style>
  <w:style w:type="paragraph" w:customStyle="1" w:styleId="TableheadingNRC">
    <w:name w:val="Tableheading NRC"/>
    <w:basedOn w:val="Ttulo4"/>
    <w:qFormat/>
    <w:rsid w:val="00A057B6"/>
    <w:rPr>
      <w:caps/>
    </w:rPr>
  </w:style>
  <w:style w:type="paragraph" w:styleId="Ttulo">
    <w:name w:val="Title"/>
    <w:aliases w:val="Title NRC"/>
    <w:basedOn w:val="Normal"/>
    <w:link w:val="TtuloCar"/>
    <w:uiPriority w:val="10"/>
    <w:qFormat/>
    <w:rsid w:val="00F211E1"/>
    <w:pPr>
      <w:spacing w:before="240" w:after="240" w:line="216" w:lineRule="auto"/>
      <w:ind w:left="227" w:right="227"/>
      <w:contextualSpacing/>
    </w:pPr>
    <w:rPr>
      <w:rFonts w:ascii="Franklin Gothic Medium" w:eastAsiaTheme="majorEastAsia" w:hAnsi="Franklin Gothic Medium" w:cstheme="majorBidi"/>
      <w:color w:val="FFFFFF" w:themeColor="background1"/>
      <w:kern w:val="28"/>
      <w:sz w:val="72"/>
      <w:szCs w:val="56"/>
    </w:rPr>
  </w:style>
  <w:style w:type="character" w:customStyle="1" w:styleId="TtuloCar">
    <w:name w:val="Título Car"/>
    <w:aliases w:val="Title NRC Car"/>
    <w:basedOn w:val="Fuentedeprrafopredeter"/>
    <w:link w:val="Ttulo"/>
    <w:uiPriority w:val="10"/>
    <w:rsid w:val="00F211E1"/>
    <w:rPr>
      <w:rFonts w:ascii="Franklin Gothic Medium" w:eastAsiaTheme="majorEastAsia" w:hAnsi="Franklin Gothic Medium" w:cstheme="majorBidi"/>
      <w:color w:val="FFFFFF" w:themeColor="background1"/>
      <w:kern w:val="28"/>
      <w:sz w:val="72"/>
      <w:szCs w:val="56"/>
      <w:lang w:val="en-GB"/>
    </w:rPr>
  </w:style>
  <w:style w:type="paragraph" w:styleId="Subttulo">
    <w:name w:val="Subtitle"/>
    <w:aliases w:val="Subtitle NRC"/>
    <w:basedOn w:val="Normal"/>
    <w:next w:val="Normal"/>
    <w:link w:val="SubttuloCar"/>
    <w:uiPriority w:val="11"/>
    <w:qFormat/>
    <w:rsid w:val="00F211E1"/>
    <w:pPr>
      <w:numPr>
        <w:ilvl w:val="1"/>
      </w:numPr>
      <w:spacing w:before="240" w:after="0"/>
    </w:pPr>
    <w:rPr>
      <w:rFonts w:eastAsiaTheme="minorEastAsia"/>
      <w:sz w:val="24"/>
    </w:rPr>
  </w:style>
  <w:style w:type="character" w:customStyle="1" w:styleId="SubttuloCar">
    <w:name w:val="Subtítulo Car"/>
    <w:aliases w:val="Subtitle NRC Car"/>
    <w:basedOn w:val="Fuentedeprrafopredeter"/>
    <w:link w:val="Subttulo"/>
    <w:uiPriority w:val="11"/>
    <w:rsid w:val="00F211E1"/>
    <w:rPr>
      <w:rFonts w:eastAsiaTheme="minorEastAsia"/>
      <w:color w:val="464645" w:themeColor="text1"/>
      <w:sz w:val="24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091EBF"/>
    <w:rPr>
      <w:color w:val="808080"/>
    </w:rPr>
  </w:style>
  <w:style w:type="paragraph" w:customStyle="1" w:styleId="FrontpagetextNRC">
    <w:name w:val="Frontpagetext NRC"/>
    <w:basedOn w:val="Normal"/>
    <w:qFormat/>
    <w:rsid w:val="00F211E1"/>
    <w:pPr>
      <w:framePr w:hSpace="142" w:wrap="around" w:vAnchor="page" w:hAnchor="margin" w:y="10859"/>
      <w:spacing w:before="240" w:after="0" w:line="240" w:lineRule="auto"/>
      <w:suppressOverlap/>
    </w:pPr>
    <w:rPr>
      <w:rFonts w:ascii="Franklin Gothic Medium" w:hAnsi="Franklin Gothic Medium"/>
      <w:caps/>
      <w:color w:val="FF7602" w:themeColor="accent1"/>
      <w:sz w:val="18"/>
      <w:lang w:val="nb-NO"/>
    </w:rPr>
  </w:style>
  <w:style w:type="paragraph" w:styleId="TDC2">
    <w:name w:val="toc 2"/>
    <w:basedOn w:val="Normal"/>
    <w:next w:val="Normal"/>
    <w:autoRedefine/>
    <w:uiPriority w:val="39"/>
    <w:rsid w:val="00CB6097"/>
    <w:pPr>
      <w:tabs>
        <w:tab w:val="left" w:pos="880"/>
        <w:tab w:val="right" w:pos="7926"/>
      </w:tabs>
      <w:spacing w:after="0"/>
      <w:ind w:left="1264" w:hanging="907"/>
      <w:contextualSpacing/>
    </w:pPr>
  </w:style>
  <w:style w:type="paragraph" w:styleId="TDC1">
    <w:name w:val="toc 1"/>
    <w:basedOn w:val="Normal"/>
    <w:next w:val="Normal"/>
    <w:autoRedefine/>
    <w:uiPriority w:val="39"/>
    <w:rsid w:val="00CB6097"/>
    <w:pPr>
      <w:tabs>
        <w:tab w:val="right" w:pos="7926"/>
      </w:tabs>
      <w:spacing w:before="160" w:after="80"/>
      <w:ind w:left="357" w:hanging="357"/>
    </w:pPr>
  </w:style>
  <w:style w:type="paragraph" w:styleId="TDC3">
    <w:name w:val="toc 3"/>
    <w:basedOn w:val="Normal"/>
    <w:next w:val="Normal"/>
    <w:autoRedefine/>
    <w:uiPriority w:val="39"/>
    <w:rsid w:val="00CB6097"/>
    <w:pPr>
      <w:tabs>
        <w:tab w:val="left" w:pos="1320"/>
        <w:tab w:val="right" w:pos="7926"/>
      </w:tabs>
      <w:spacing w:after="0"/>
      <w:ind w:left="1474" w:hanging="567"/>
      <w:contextualSpacing/>
    </w:pPr>
  </w:style>
  <w:style w:type="character" w:styleId="Hipervnculo">
    <w:name w:val="Hyperlink"/>
    <w:basedOn w:val="Fuentedeprrafopredeter"/>
    <w:uiPriority w:val="99"/>
    <w:rsid w:val="004B5714"/>
    <w:rPr>
      <w:color w:val="0563C1" w:themeColor="hyperlink"/>
      <w:u w:val="single"/>
    </w:rPr>
  </w:style>
  <w:style w:type="table" w:customStyle="1" w:styleId="ForsideTabell">
    <w:name w:val="ForsideTabell"/>
    <w:basedOn w:val="Tablanormal"/>
    <w:uiPriority w:val="99"/>
    <w:rsid w:val="00E14EE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Textonotapie">
    <w:name w:val="footnote text"/>
    <w:aliases w:val="Footnote text NRC"/>
    <w:basedOn w:val="Normal"/>
    <w:link w:val="TextonotapieCar"/>
    <w:uiPriority w:val="99"/>
    <w:qFormat/>
    <w:rsid w:val="00FC707B"/>
    <w:pPr>
      <w:spacing w:after="0" w:line="240" w:lineRule="auto"/>
    </w:pPr>
    <w:rPr>
      <w:sz w:val="16"/>
      <w:szCs w:val="20"/>
    </w:rPr>
  </w:style>
  <w:style w:type="character" w:customStyle="1" w:styleId="TextonotapieCar">
    <w:name w:val="Texto nota pie Car"/>
    <w:aliases w:val="Footnote text NRC Car"/>
    <w:basedOn w:val="Fuentedeprrafopredeter"/>
    <w:link w:val="Textonotapie"/>
    <w:uiPriority w:val="99"/>
    <w:rsid w:val="00FC707B"/>
    <w:rPr>
      <w:color w:val="464645" w:themeColor="text1"/>
      <w:sz w:val="16"/>
      <w:szCs w:val="20"/>
      <w:lang w:val="en-GB"/>
    </w:rPr>
  </w:style>
  <w:style w:type="character" w:styleId="Refdenotaalpie">
    <w:name w:val="footnote reference"/>
    <w:basedOn w:val="Fuentedeprrafopredeter"/>
    <w:uiPriority w:val="99"/>
    <w:semiHidden/>
    <w:unhideWhenUsed/>
    <w:rsid w:val="00FC707B"/>
    <w:rPr>
      <w:vertAlign w:val="superscript"/>
    </w:rPr>
  </w:style>
  <w:style w:type="table" w:customStyle="1" w:styleId="Forsidestil">
    <w:name w:val="Forsidestil"/>
    <w:basedOn w:val="Tablanormal"/>
    <w:uiPriority w:val="99"/>
    <w:rsid w:val="003637EE"/>
    <w:pPr>
      <w:spacing w:after="0" w:line="240" w:lineRule="auto"/>
    </w:pPr>
    <w:tblPr>
      <w:tblCellMar>
        <w:left w:w="0" w:type="dxa"/>
        <w:right w:w="0" w:type="dxa"/>
      </w:tblCellMar>
    </w:tblPr>
    <w:tcPr>
      <w:vAlign w:val="bottom"/>
    </w:tcPr>
    <w:tblStylePr w:type="firstRow">
      <w:tblPr/>
      <w:tcPr>
        <w:shd w:val="clear" w:color="auto" w:fill="464645" w:themeFill="text1"/>
      </w:tcPr>
    </w:tblStylePr>
  </w:style>
  <w:style w:type="paragraph" w:styleId="Descripcin">
    <w:name w:val="caption"/>
    <w:aliases w:val="Caption NRC"/>
    <w:basedOn w:val="Normal"/>
    <w:next w:val="Normal"/>
    <w:uiPriority w:val="35"/>
    <w:qFormat/>
    <w:rsid w:val="001B6690"/>
    <w:pPr>
      <w:spacing w:after="200" w:line="240" w:lineRule="auto"/>
    </w:pPr>
    <w:rPr>
      <w:i/>
      <w:iCs/>
      <w:sz w:val="16"/>
      <w:szCs w:val="18"/>
    </w:rPr>
  </w:style>
  <w:style w:type="character" w:styleId="Textoennegrita">
    <w:name w:val="Strong"/>
    <w:aliases w:val="Strong NRC"/>
    <w:basedOn w:val="Fuentedeprrafopredeter"/>
    <w:uiPriority w:val="22"/>
    <w:qFormat/>
    <w:rsid w:val="00B14103"/>
    <w:rPr>
      <w:rFonts w:ascii="Franklin Gothic Medium" w:hAnsi="Franklin Gothic Medium"/>
      <w:b w:val="0"/>
      <w:b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5E40"/>
    <w:rPr>
      <w:rFonts w:eastAsiaTheme="majorEastAsia" w:cstheme="majorBidi"/>
      <w:color w:val="C05700" w:themeColor="accent1" w:themeShade="BF"/>
      <w:kern w:val="0"/>
      <w:sz w:val="20"/>
      <w:lang w:val="en-GB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5E40"/>
    <w:rPr>
      <w:rFonts w:eastAsiaTheme="majorEastAsia" w:cstheme="majorBidi"/>
      <w:i/>
      <w:iCs/>
      <w:color w:val="878785" w:themeColor="text1" w:themeTint="A6"/>
      <w:kern w:val="0"/>
      <w:sz w:val="20"/>
      <w:lang w:val="en-GB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5E40"/>
    <w:rPr>
      <w:rFonts w:eastAsiaTheme="majorEastAsia" w:cstheme="majorBidi"/>
      <w:color w:val="878785" w:themeColor="text1" w:themeTint="A6"/>
      <w:kern w:val="0"/>
      <w:sz w:val="20"/>
      <w:lang w:val="en-GB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5E40"/>
    <w:rPr>
      <w:rFonts w:eastAsiaTheme="majorEastAsia" w:cstheme="majorBidi"/>
      <w:i/>
      <w:iCs/>
      <w:color w:val="626261" w:themeColor="text1" w:themeTint="D8"/>
      <w:kern w:val="0"/>
      <w:sz w:val="20"/>
      <w:lang w:val="en-GB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5E40"/>
    <w:rPr>
      <w:rFonts w:eastAsiaTheme="majorEastAsia" w:cstheme="majorBidi"/>
      <w:color w:val="626261" w:themeColor="text1" w:themeTint="D8"/>
      <w:kern w:val="0"/>
      <w:sz w:val="20"/>
      <w:lang w:val="en-GB"/>
      <w14:ligatures w14:val="none"/>
    </w:rPr>
  </w:style>
  <w:style w:type="character" w:styleId="nfasisintenso">
    <w:name w:val="Intense Emphasis"/>
    <w:basedOn w:val="Fuentedeprrafopredeter"/>
    <w:uiPriority w:val="21"/>
    <w:semiHidden/>
    <w:qFormat/>
    <w:rsid w:val="000E5E40"/>
    <w:rPr>
      <w:i/>
      <w:iCs/>
      <w:color w:val="C05700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0E5E40"/>
    <w:pPr>
      <w:pBdr>
        <w:top w:val="single" w:sz="4" w:space="10" w:color="C05700" w:themeColor="accent1" w:themeShade="BF"/>
        <w:bottom w:val="single" w:sz="4" w:space="10" w:color="C05700" w:themeColor="accent1" w:themeShade="BF"/>
      </w:pBdr>
      <w:spacing w:before="360" w:after="360"/>
      <w:ind w:left="864" w:right="864"/>
      <w:jc w:val="center"/>
    </w:pPr>
    <w:rPr>
      <w:i/>
      <w:iCs/>
      <w:color w:val="C05700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0E5E40"/>
    <w:rPr>
      <w:i/>
      <w:iCs/>
      <w:color w:val="C05700" w:themeColor="accent1" w:themeShade="BF"/>
      <w:kern w:val="0"/>
      <w:sz w:val="20"/>
      <w:lang w:val="en-GB"/>
      <w14:ligatures w14:val="none"/>
    </w:rPr>
  </w:style>
  <w:style w:type="character" w:styleId="Referenciaintensa">
    <w:name w:val="Intense Reference"/>
    <w:basedOn w:val="Fuentedeprrafopredeter"/>
    <w:uiPriority w:val="32"/>
    <w:semiHidden/>
    <w:qFormat/>
    <w:rsid w:val="000E5E40"/>
    <w:rPr>
      <w:b/>
      <w:bCs/>
      <w:smallCaps/>
      <w:color w:val="C05700" w:themeColor="accent1" w:themeShade="BF"/>
      <w:spacing w:val="5"/>
    </w:rPr>
  </w:style>
  <w:style w:type="paragraph" w:styleId="Revisin">
    <w:name w:val="Revision"/>
    <w:hidden/>
    <w:uiPriority w:val="99"/>
    <w:semiHidden/>
    <w:rsid w:val="00DD7CEB"/>
    <w:pPr>
      <w:spacing w:after="0" w:line="240" w:lineRule="auto"/>
    </w:pPr>
    <w:rPr>
      <w:color w:val="464645" w:themeColor="text1"/>
      <w:kern w:val="0"/>
      <w:sz w:val="20"/>
      <w:lang w:val="en-GB"/>
      <w14:ligatures w14:val="none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color w:val="464645" w:themeColor="text1"/>
      <w:kern w:val="0"/>
      <w:sz w:val="20"/>
      <w:szCs w:val="20"/>
      <w:lang w:val="en-GB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.tender@nrc.no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NRC">
      <a:dk1>
        <a:srgbClr val="464645"/>
      </a:dk1>
      <a:lt1>
        <a:sysClr val="window" lastClr="FFFFFF"/>
      </a:lt1>
      <a:dk2>
        <a:srgbClr val="A6A6A5"/>
      </a:dk2>
      <a:lt2>
        <a:srgbClr val="D3D3D2"/>
      </a:lt2>
      <a:accent1>
        <a:srgbClr val="FF7602"/>
      </a:accent1>
      <a:accent2>
        <a:srgbClr val="72C7E7"/>
      </a:accent2>
      <a:accent3>
        <a:srgbClr val="0094B3"/>
      </a:accent3>
      <a:accent4>
        <a:srgbClr val="CE5C43"/>
      </a:accent4>
      <a:accent5>
        <a:srgbClr val="FDC82F"/>
      </a:accent5>
      <a:accent6>
        <a:srgbClr val="F3EC7A"/>
      </a:accent6>
      <a:hlink>
        <a:srgbClr val="0563C1"/>
      </a:hlink>
      <a:folHlink>
        <a:srgbClr val="954F72"/>
      </a:folHlink>
    </a:clrScheme>
    <a:fontScheme name="NRC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0B4D5D378944C97A35A2475735764" ma:contentTypeVersion="15" ma:contentTypeDescription="Create a new document." ma:contentTypeScope="" ma:versionID="419edf10ce788a029799b7eae73cbcdc">
  <xsd:schema xmlns:xsd="http://www.w3.org/2001/XMLSchema" xmlns:xs="http://www.w3.org/2001/XMLSchema" xmlns:p="http://schemas.microsoft.com/office/2006/metadata/properties" xmlns:ns2="d740df75-34d9-4d77-a76f-ddf73a52a2e5" xmlns:ns3="0c747369-06c1-46d5-8991-c2955fe00629" targetNamespace="http://schemas.microsoft.com/office/2006/metadata/properties" ma:root="true" ma:fieldsID="607ab97fbeaf626538bde4a098f08a90" ns2:_="" ns3:_="">
    <xsd:import namespace="d740df75-34d9-4d77-a76f-ddf73a52a2e5"/>
    <xsd:import namespace="0c747369-06c1-46d5-8991-c2955fe006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0df75-34d9-4d77-a76f-ddf73a52a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7369-06c1-46d5-8991-c2955fe006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1fb1b23-198d-4020-b45e-60030893c3ea}" ma:internalName="TaxCatchAll" ma:showField="CatchAllData" ma:web="0c747369-06c1-46d5-8991-c2955fe006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40df75-34d9-4d77-a76f-ddf73a52a2e5">
      <Terms xmlns="http://schemas.microsoft.com/office/infopath/2007/PartnerControls"/>
    </lcf76f155ced4ddcb4097134ff3c332f>
    <TaxCatchAll xmlns="0c747369-06c1-46d5-8991-c2955fe0062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B0DE8D-E78F-4396-AE59-19A6DE668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0df75-34d9-4d77-a76f-ddf73a52a2e5"/>
    <ds:schemaRef ds:uri="0c747369-06c1-46d5-8991-c2955fe0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B7BBFD-CE12-4C30-9DA7-35A00032CCA7}">
  <ds:schemaRefs/>
</ds:datastoreItem>
</file>

<file path=customXml/itemProps3.xml><?xml version="1.0" encoding="utf-8"?>
<ds:datastoreItem xmlns:ds="http://schemas.openxmlformats.org/officeDocument/2006/customXml" ds:itemID="{6282A876-9A0F-45DE-A5EE-DE753123059E}">
  <ds:schemaRefs>
    <ds:schemaRef ds:uri="0c747369-06c1-46d5-8991-c2955fe00629"/>
    <ds:schemaRef ds:uri="http://schemas.microsoft.com/office/2006/documentManagement/types"/>
    <ds:schemaRef ds:uri="http://purl.org/dc/elements/1.1/"/>
    <ds:schemaRef ds:uri="d740df75-34d9-4d77-a76f-ddf73a52a2e5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A7FA18A-2432-4165-88C4-95F8C90FF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1432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Hajar El Rhouati</dc:creator>
  <cp:keywords/>
  <dc:description/>
  <cp:lastModifiedBy>Milena Rodriguez</cp:lastModifiedBy>
  <cp:revision>2</cp:revision>
  <dcterms:created xsi:type="dcterms:W3CDTF">2026-03-03T16:07:00Z</dcterms:created>
  <dcterms:modified xsi:type="dcterms:W3CDTF">2026-03-03T16:07:00Z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0x010100DDE0B4D5D378944C97A35A2475735764</vt:lpwstr>
  </property>
  <property fmtid="{D5CDD505-2E9C-101B-9397-08002B2CF9AE}" pid="3" name="MediaServiceImageTags">
    <vt:lpwstr/>
  </property>
</Properties>
</file>