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drawing>
          <wp:inline distB="19050" distT="19050" distL="19050" distR="19050">
            <wp:extent cx="658813" cy="658813"/>
            <wp:effectExtent b="0" l="0" r="0" t="0"/>
            <wp:docPr id="4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58813" cy="658813"/>
                    </a:xfrm>
                    <a:prstGeom prst="rect"/>
                    <a:ln/>
                  </pic:spPr>
                </pic:pic>
              </a:graphicData>
            </a:graphic>
          </wp:inline>
        </w:drawing>
      </w:r>
      <w:r w:rsidDel="00000000" w:rsidR="00000000" w:rsidRPr="00000000">
        <w:rPr/>
        <w:drawing>
          <wp:anchor allowOverlap="1" behindDoc="0" distB="0" distT="0" distL="114300" distR="114300" hidden="0" layoutInCell="1" locked="0" relativeHeight="0" simplePos="0">
            <wp:simplePos x="0" y="0"/>
            <wp:positionH relativeFrom="margin">
              <wp:posOffset>0</wp:posOffset>
            </wp:positionH>
            <wp:positionV relativeFrom="margin">
              <wp:posOffset>61985</wp:posOffset>
            </wp:positionV>
            <wp:extent cx="2249488" cy="566665"/>
            <wp:effectExtent b="0" l="0" r="0" t="0"/>
            <wp:wrapSquare wrapText="bothSides" distB="0" distT="0" distL="114300" distR="114300"/>
            <wp:docPr id="42"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2249488" cy="566665"/>
                    </a:xfrm>
                    <a:prstGeom prst="rect"/>
                    <a:ln/>
                  </pic:spPr>
                </pic:pic>
              </a:graphicData>
            </a:graphic>
          </wp:anchor>
        </w:drawing>
      </w:r>
      <w:r w:rsidDel="00000000" w:rsidR="00000000" w:rsidRPr="00000000">
        <w:rPr>
          <w:rtl w:val="0"/>
        </w:rPr>
      </w:r>
    </w:p>
    <w:tbl>
      <w:tblPr>
        <w:tblStyle w:val="Table1"/>
        <w:tblpPr w:leftFromText="142" w:rightFromText="142" w:topFromText="0" w:bottomFromText="0" w:vertAnchor="page" w:horzAnchor="margin" w:tblpX="0" w:tblpY="4821"/>
        <w:tblW w:w="8700.0" w:type="dxa"/>
        <w:jc w:val="left"/>
        <w:tblLayout w:type="fixed"/>
        <w:tblLook w:val="0420"/>
      </w:tblPr>
      <w:tblGrid>
        <w:gridCol w:w="8700"/>
        <w:tblGridChange w:id="0">
          <w:tblGrid>
            <w:gridCol w:w="8700"/>
          </w:tblGrid>
        </w:tblGridChange>
      </w:tblGrid>
      <w:tr>
        <w:trPr>
          <w:cantSplit w:val="0"/>
          <w:trHeight w:val="5126" w:hRule="atLeast"/>
          <w:tblHeader w:val="0"/>
        </w:trPr>
        <w:tc>
          <w:tcPr>
            <w:shd w:fill="auto" w:val="clear"/>
            <w:vAlign w:val="top"/>
          </w:tcPr>
          <w:p w:rsidR="00000000" w:rsidDel="00000000" w:rsidP="00000000" w:rsidRDefault="00000000" w:rsidRPr="00000000" w14:paraId="00000002">
            <w:pPr>
              <w:pStyle w:val="Title"/>
              <w:spacing w:after="0" w:lineRule="auto"/>
              <w:ind w:left="0" w:firstLine="0"/>
              <w:rPr>
                <w:color w:val="464645"/>
                <w:sz w:val="96"/>
                <w:szCs w:val="96"/>
              </w:rPr>
            </w:pPr>
            <w:r w:rsidDel="00000000" w:rsidR="00000000" w:rsidRPr="00000000">
              <w:rPr>
                <w:color w:val="464645"/>
                <w:sz w:val="96"/>
                <w:szCs w:val="96"/>
                <w:rtl w:val="0"/>
              </w:rPr>
              <w:t xml:space="preserve">NRC HLP Evaluation Case Studies</w:t>
            </w:r>
          </w:p>
        </w:tc>
      </w:tr>
      <w:tr>
        <w:trPr>
          <w:cantSplit w:val="0"/>
          <w:trHeight w:val="1750" w:hRule="atLeast"/>
          <w:tblHeader w:val="0"/>
        </w:trPr>
        <w:tc>
          <w:tcPr>
            <w:vAlign w:val="center"/>
          </w:tcPr>
          <w:p w:rsidR="00000000" w:rsidDel="00000000" w:rsidP="00000000" w:rsidRDefault="00000000" w:rsidRPr="00000000" w14:paraId="00000003">
            <w:pPr>
              <w:pStyle w:val="Subtitle"/>
              <w:spacing w:after="40" w:before="40" w:lineRule="auto"/>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An Evaluation of NRC’s HLP Programming in Baidoa, Kismayo, Garowe, and Mogadishu Cities, Somalia.</w:t>
            </w:r>
          </w:p>
        </w:tc>
      </w:tr>
    </w:tbl>
    <w:p w:rsidR="00000000" w:rsidDel="00000000" w:rsidP="00000000" w:rsidRDefault="00000000" w:rsidRPr="00000000" w14:paraId="00000004">
      <w:pPr>
        <w:rPr/>
      </w:pPr>
      <w:bookmarkStart w:colFirst="0" w:colLast="0" w:name="_heading=h.36ztxnazodxh" w:id="0"/>
      <w:bookmarkEnd w:id="0"/>
      <w:r w:rsidDel="00000000" w:rsidR="00000000" w:rsidRPr="00000000">
        <w:rPr>
          <w:rtl w:val="0"/>
        </w:rPr>
      </w:r>
    </w:p>
    <w:tbl>
      <w:tblPr>
        <w:tblStyle w:val="Table2"/>
        <w:tblpPr w:leftFromText="142" w:rightFromText="142" w:topFromText="0" w:bottomFromText="0" w:vertAnchor="page" w:horzAnchor="margin" w:tblpX="0" w:tblpY="14176"/>
        <w:tblW w:w="7938.0" w:type="dxa"/>
        <w:jc w:val="left"/>
        <w:tblLayout w:type="fixed"/>
        <w:tblLook w:val="0420"/>
      </w:tblPr>
      <w:tblGrid>
        <w:gridCol w:w="7938"/>
        <w:tblGridChange w:id="0">
          <w:tblGrid>
            <w:gridCol w:w="7938"/>
          </w:tblGrid>
        </w:tblGridChange>
      </w:tblGrid>
      <w:tr>
        <w:trPr>
          <w:cantSplit w:val="0"/>
          <w:trHeight w:val="851" w:hRule="atLeast"/>
          <w:tblHeader w:val="0"/>
        </w:trPr>
        <w:tc>
          <w:tcPr>
            <w:shd w:fill="auto" w:val="clear"/>
            <w:vAlign w:val="top"/>
          </w:tcPr>
          <w:p w:rsidR="00000000" w:rsidDel="00000000" w:rsidP="00000000" w:rsidRDefault="00000000" w:rsidRPr="00000000" w14:paraId="00000005">
            <w:pPr>
              <w:pStyle w:val="Subtitle"/>
              <w:spacing w:after="120" w:before="120" w:lineRule="auto"/>
              <w:rPr/>
            </w:pPr>
            <w:r w:rsidDel="00000000" w:rsidR="00000000" w:rsidRPr="00000000">
              <w:rPr>
                <w:rtl w:val="0"/>
              </w:rPr>
              <w:t xml:space="preserve">Author: Samuel Hall</w:t>
            </w:r>
          </w:p>
        </w:tc>
      </w:tr>
      <w:tr>
        <w:trPr>
          <w:cantSplit w:val="0"/>
          <w:tblHeader w:val="0"/>
        </w:trPr>
        <w:tc>
          <w:tcPr>
            <w:tcMar>
              <w:top w:w="0.0" w:type="dxa"/>
              <w:left w:w="115.0" w:type="dxa"/>
              <w:bottom w:w="0.0" w:type="dxa"/>
              <w:right w:w="115.0" w:type="dxa"/>
            </w:tcMar>
          </w:tcPr>
          <w:p w:rsidR="00000000" w:rsidDel="00000000" w:rsidP="00000000" w:rsidRDefault="00000000" w:rsidRPr="00000000" w14:paraId="00000006">
            <w:pPr>
              <w:spacing w:before="80" w:lineRule="auto"/>
              <w:rPr>
                <w:rFonts w:ascii="Times New Roman" w:cs="Times New Roman" w:eastAsia="Times New Roman" w:hAnsi="Times New Roman"/>
                <w:color w:val="000000"/>
                <w:sz w:val="24"/>
                <w:szCs w:val="24"/>
              </w:rPr>
            </w:pPr>
            <w:r w:rsidDel="00000000" w:rsidR="00000000" w:rsidRPr="00000000">
              <w:rPr>
                <w:smallCaps w:val="1"/>
                <w:color w:val="ff7602"/>
                <w:sz w:val="18"/>
                <w:szCs w:val="18"/>
                <w:rtl w:val="0"/>
              </w:rPr>
              <w:t xml:space="preserve">JUNE 2026</w:t>
            </w:r>
            <w:r w:rsidDel="00000000" w:rsidR="00000000" w:rsidRPr="00000000">
              <w:rPr>
                <w:rtl w:val="0"/>
              </w:rPr>
            </w:r>
          </w:p>
        </w:tc>
      </w:tr>
    </w:tbl>
    <w:p w:rsidR="00000000" w:rsidDel="00000000" w:rsidP="00000000" w:rsidRDefault="00000000" w:rsidRPr="00000000" w14:paraId="00000007">
      <w:pPr>
        <w:rPr>
          <w:rFonts w:ascii="Libre Franklin Medium" w:cs="Libre Franklin Medium" w:eastAsia="Libre Franklin Medium" w:hAnsi="Libre Franklin Medium"/>
          <w:smallCaps w:val="1"/>
        </w:rPr>
        <w:sectPr>
          <w:pgSz w:h="16838" w:w="11906" w:orient="portrait"/>
          <w:pgMar w:bottom="1134" w:top="1985" w:left="1985" w:right="1985" w:header="709" w:footer="709"/>
          <w:pgNumType w:start="1"/>
          <w:titlePg w:val="1"/>
        </w:sectPr>
      </w:pPr>
      <w:r w:rsidDel="00000000" w:rsidR="00000000" w:rsidRPr="00000000">
        <w:rPr>
          <w:rtl w:val="0"/>
        </w:rPr>
      </w:r>
    </w:p>
    <w:p w:rsidR="00000000" w:rsidDel="00000000" w:rsidP="00000000" w:rsidRDefault="00000000" w:rsidRPr="00000000" w14:paraId="00000008">
      <w:pPr>
        <w:pStyle w:val="Heading1"/>
        <w:spacing w:after="0" w:lineRule="auto"/>
        <w:ind w:left="0" w:firstLine="0"/>
        <w:rPr/>
      </w:pPr>
      <w:bookmarkStart w:colFirst="0" w:colLast="0" w:name="_heading=h.b9s6tqit3268" w:id="1"/>
      <w:bookmarkEnd w:id="1"/>
      <w:r w:rsidDel="00000000" w:rsidR="00000000" w:rsidRPr="00000000">
        <w:rPr>
          <w:rtl w:val="0"/>
        </w:rPr>
        <w:t xml:space="preserve">CASE STUDY: BAIDOA</w:t>
      </w:r>
    </w:p>
    <w:p w:rsidR="00000000" w:rsidDel="00000000" w:rsidP="00000000" w:rsidRDefault="00000000" w:rsidRPr="00000000" w14:paraId="00000009">
      <w:pPr>
        <w:spacing w:after="240" w:before="240" w:lineRule="auto"/>
        <w:rPr/>
      </w:pPr>
      <w:r w:rsidDel="00000000" w:rsidR="00000000" w:rsidRPr="00000000">
        <w:rPr>
          <w:rtl w:val="0"/>
        </w:rPr>
        <w:t xml:space="preserve">This template is designed to answer one core question:</w:t>
      </w:r>
    </w:p>
    <w:p w:rsidR="00000000" w:rsidDel="00000000" w:rsidP="00000000" w:rsidRDefault="00000000" w:rsidRPr="00000000" w14:paraId="0000000A">
      <w:pPr>
        <w:spacing w:after="240" w:before="240" w:lineRule="auto"/>
        <w:rPr>
          <w:b w:val="1"/>
          <w:bCs w:val="1"/>
        </w:rPr>
      </w:pPr>
      <w:r w:rsidDel="00000000" w:rsidR="00000000" w:rsidRPr="00000000">
        <w:rPr>
          <w:b w:val="1"/>
          <w:bCs w:val="1"/>
          <w:rtl w:val="0"/>
        </w:rPr>
        <w:t xml:space="preserve">How and why did a specific HLP model produce (or fail to produce) durable tenure security outcomes in a particular city?</w:t>
      </w:r>
    </w:p>
    <w:p w:rsidR="00000000" w:rsidDel="00000000" w:rsidP="00000000" w:rsidRDefault="00000000" w:rsidRPr="00000000" w14:paraId="0000000B">
      <w:pPr>
        <w:spacing w:after="240" w:before="240" w:lineRule="auto"/>
        <w:rPr/>
      </w:pPr>
      <w:r w:rsidDel="00000000" w:rsidR="00000000" w:rsidRPr="00000000">
        <w:rPr>
          <w:rtl w:val="0"/>
        </w:rPr>
        <w:t xml:space="preserve">The guide below will be used to develop a snapshot analytical narrative of the performance of the model applied in each city. </w:t>
      </w:r>
    </w:p>
    <w:tbl>
      <w:tblPr>
        <w:tblStyle w:val="Table3"/>
        <w:tblW w:w="8720.0" w:type="dxa"/>
        <w:jc w:val="left"/>
        <w:tblInd w:w="-108.0" w:type="dxa"/>
        <w:tblBorders>
          <w:top w:color="ffc899" w:space="0" w:sz="4" w:val="single"/>
          <w:left w:color="ffc899" w:space="0" w:sz="4" w:val="single"/>
          <w:bottom w:color="ffc899" w:space="0" w:sz="4" w:val="single"/>
          <w:right w:color="ffc899" w:space="0" w:sz="4" w:val="single"/>
          <w:insideH w:color="ffc899" w:space="0" w:sz="4" w:val="single"/>
          <w:insideV w:color="ffc899" w:space="0" w:sz="4" w:val="single"/>
        </w:tblBorders>
        <w:tblLayout w:type="fixed"/>
        <w:tblLook w:val="04A0"/>
      </w:tblPr>
      <w:tblGrid>
        <w:gridCol w:w="4360"/>
        <w:gridCol w:w="4360"/>
        <w:tblGridChange w:id="0">
          <w:tblGrid>
            <w:gridCol w:w="4360"/>
            <w:gridCol w:w="4360"/>
          </w:tblGrid>
        </w:tblGridChange>
      </w:tblGrid>
      <w:tr>
        <w:trPr>
          <w:cantSplit w:val="0"/>
          <w:tblHeader w:val="0"/>
        </w:trPr>
        <w:tc>
          <w:tcPr/>
          <w:p w:rsidR="00000000" w:rsidDel="00000000" w:rsidP="00000000" w:rsidRDefault="00000000" w:rsidRPr="00000000" w14:paraId="0000000C">
            <w:pPr>
              <w:rPr/>
            </w:pPr>
            <w:r w:rsidDel="00000000" w:rsidR="00000000" w:rsidRPr="00000000">
              <w:rPr>
                <w:rtl w:val="0"/>
              </w:rPr>
              <w:t xml:space="preserve">City</w:t>
            </w:r>
          </w:p>
        </w:tc>
        <w:tc>
          <w:tcPr/>
          <w:p w:rsidR="00000000" w:rsidDel="00000000" w:rsidP="00000000" w:rsidRDefault="00000000" w:rsidRPr="00000000" w14:paraId="0000000D">
            <w:pPr>
              <w:rPr>
                <w:b w:val="0"/>
                <w:bCs w:val="0"/>
              </w:rPr>
            </w:pPr>
            <w:r w:rsidDel="00000000" w:rsidR="00000000" w:rsidRPr="00000000">
              <w:rPr>
                <w:b w:val="0"/>
                <w:bCs w:val="0"/>
                <w:rtl w:val="0"/>
              </w:rPr>
              <w:t xml:space="preserve">Baidoa</w:t>
            </w:r>
          </w:p>
        </w:tc>
      </w:tr>
      <w:tr>
        <w:trPr>
          <w:cantSplit w:val="0"/>
          <w:tblHeader w:val="0"/>
        </w:trPr>
        <w:tc>
          <w:tcPr/>
          <w:p w:rsidR="00000000" w:rsidDel="00000000" w:rsidP="00000000" w:rsidRDefault="00000000" w:rsidRPr="00000000" w14:paraId="0000000E">
            <w:pPr>
              <w:rPr/>
            </w:pPr>
            <w:r w:rsidDel="00000000" w:rsidR="00000000" w:rsidRPr="00000000">
              <w:rPr>
                <w:rtl w:val="0"/>
              </w:rPr>
              <w:t xml:space="preserve">Settlement</w:t>
            </w:r>
          </w:p>
        </w:tc>
        <w:tc>
          <w:tcPr/>
          <w:p w:rsidR="00000000" w:rsidDel="00000000" w:rsidP="00000000" w:rsidRDefault="00000000" w:rsidRPr="00000000" w14:paraId="0000000F">
            <w:pPr>
              <w:spacing w:after="240" w:before="240" w:lineRule="auto"/>
              <w:rPr/>
            </w:pPr>
            <w:r w:rsidDel="00000000" w:rsidR="00000000" w:rsidRPr="00000000">
              <w:rPr>
                <w:rtl w:val="0"/>
              </w:rPr>
              <w:t xml:space="preserve">IDP settlements (Xanaano, Basmale and surrounding planned sites)</w:t>
            </w:r>
          </w:p>
        </w:tc>
      </w:tr>
      <w:tr>
        <w:trPr>
          <w:cantSplit w:val="0"/>
          <w:tblHeader w:val="0"/>
        </w:trPr>
        <w:tc>
          <w:tcPr/>
          <w:p w:rsidR="00000000" w:rsidDel="00000000" w:rsidP="00000000" w:rsidRDefault="00000000" w:rsidRPr="00000000" w14:paraId="00000010">
            <w:pPr>
              <w:rPr/>
            </w:pPr>
            <w:r w:rsidDel="00000000" w:rsidR="00000000" w:rsidRPr="00000000">
              <w:rPr>
                <w:rtl w:val="0"/>
              </w:rPr>
              <w:t xml:space="preserve">HLP model</w:t>
            </w:r>
          </w:p>
        </w:tc>
        <w:tc>
          <w:tcPr/>
          <w:p w:rsidR="00000000" w:rsidDel="00000000" w:rsidP="00000000" w:rsidRDefault="00000000" w:rsidRPr="00000000" w14:paraId="00000011">
            <w:pPr>
              <w:spacing w:after="240" w:before="240" w:lineRule="auto"/>
              <w:rPr/>
            </w:pPr>
            <w:r w:rsidDel="00000000" w:rsidR="00000000" w:rsidRPr="00000000">
              <w:rPr>
                <w:rtl w:val="0"/>
              </w:rPr>
              <w:t xml:space="preserve">Community-led land purchase + NRC-supported legalisation (title deeds) + shelter construction + dispute resolution mechanisms</w:t>
            </w:r>
          </w:p>
        </w:tc>
      </w:tr>
      <w:tr>
        <w:trPr>
          <w:cantSplit w:val="0"/>
          <w:tblHeader w:val="0"/>
        </w:trPr>
        <w:tc>
          <w:tcPr/>
          <w:p w:rsidR="00000000" w:rsidDel="00000000" w:rsidP="00000000" w:rsidRDefault="00000000" w:rsidRPr="00000000" w14:paraId="00000012">
            <w:pPr>
              <w:rPr/>
            </w:pPr>
            <w:r w:rsidDel="00000000" w:rsidR="00000000" w:rsidRPr="00000000">
              <w:rPr>
                <w:rtl w:val="0"/>
              </w:rPr>
              <w:t xml:space="preserve">Implementation period</w:t>
            </w:r>
          </w:p>
        </w:tc>
        <w:tc>
          <w:tcPr/>
          <w:p w:rsidR="00000000" w:rsidDel="00000000" w:rsidP="00000000" w:rsidRDefault="00000000" w:rsidRPr="00000000" w14:paraId="00000013">
            <w:pPr>
              <w:spacing w:after="240" w:before="240" w:lineRule="auto"/>
              <w:rPr/>
            </w:pPr>
            <w:r w:rsidDel="00000000" w:rsidR="00000000" w:rsidRPr="00000000">
              <w:rPr>
                <w:rtl w:val="0"/>
              </w:rPr>
              <w:t xml:space="preserve">Approx. 2019–2025</w:t>
            </w:r>
          </w:p>
        </w:tc>
      </w:tr>
      <w:tr>
        <w:trPr>
          <w:cantSplit w:val="0"/>
          <w:tblHeader w:val="0"/>
        </w:trPr>
        <w:tc>
          <w:tcPr/>
          <w:p w:rsidR="00000000" w:rsidDel="00000000" w:rsidP="00000000" w:rsidRDefault="00000000" w:rsidRPr="00000000" w14:paraId="00000014">
            <w:pPr>
              <w:rPr/>
            </w:pPr>
            <w:r w:rsidDel="00000000" w:rsidR="00000000" w:rsidRPr="00000000">
              <w:rPr>
                <w:rtl w:val="0"/>
              </w:rPr>
              <w:t xml:space="preserve">Approx. households supported</w:t>
            </w:r>
          </w:p>
        </w:tc>
        <w:tc>
          <w:tcPr/>
          <w:p w:rsidR="00000000" w:rsidDel="00000000" w:rsidP="00000000" w:rsidRDefault="00000000" w:rsidRPr="00000000" w14:paraId="00000015">
            <w:pPr>
              <w:spacing w:after="240" w:before="240" w:lineRule="auto"/>
              <w:ind w:left="0" w:right="600" w:firstLine="0"/>
              <w:rPr/>
            </w:pPr>
            <w:r w:rsidDel="00000000" w:rsidR="00000000" w:rsidRPr="00000000">
              <w:rPr>
                <w:rtl w:val="0"/>
              </w:rPr>
              <w:t xml:space="preserve">~5000 households supported with tenure documentation, ~46 households per settlement cluster (KII/FGD evidence), with multiple sites supported across Baidoa.</w:t>
            </w:r>
          </w:p>
        </w:tc>
      </w:tr>
      <w:tr>
        <w:trPr>
          <w:cantSplit w:val="0"/>
          <w:tblHeader w:val="0"/>
        </w:trPr>
        <w:tc>
          <w:tcPr/>
          <w:p w:rsidR="00000000" w:rsidDel="00000000" w:rsidP="00000000" w:rsidRDefault="00000000" w:rsidRPr="00000000" w14:paraId="00000016">
            <w:pPr>
              <w:rPr/>
            </w:pPr>
            <w:r w:rsidDel="00000000" w:rsidR="00000000" w:rsidRPr="00000000">
              <w:rPr>
                <w:rtl w:val="0"/>
              </w:rPr>
              <w:t xml:space="preserve">Primary land status</w:t>
            </w:r>
          </w:p>
        </w:tc>
        <w:tc>
          <w:tcPr/>
          <w:p w:rsidR="00000000" w:rsidDel="00000000" w:rsidP="00000000" w:rsidRDefault="00000000" w:rsidRPr="00000000" w14:paraId="00000017">
            <w:pPr>
              <w:rPr/>
            </w:pPr>
            <w:r w:rsidDel="00000000" w:rsidR="00000000" w:rsidRPr="00000000">
              <w:rPr>
                <w:rtl w:val="0"/>
              </w:rPr>
              <w:t xml:space="preserve">[ ] Public [X] Private [ ] Customary [X] Mixed</w:t>
            </w:r>
          </w:p>
        </w:tc>
      </w:tr>
      <w:tr>
        <w:trPr>
          <w:cantSplit w:val="0"/>
          <w:tblHeader w:val="0"/>
        </w:trPr>
        <w:tc>
          <w:tcPr/>
          <w:p w:rsidR="00000000" w:rsidDel="00000000" w:rsidP="00000000" w:rsidRDefault="00000000" w:rsidRPr="00000000" w14:paraId="00000018">
            <w:pPr>
              <w:rPr/>
            </w:pPr>
            <w:r w:rsidDel="00000000" w:rsidR="00000000" w:rsidRPr="00000000">
              <w:rPr>
                <w:rtl w:val="0"/>
              </w:rPr>
              <w:t xml:space="preserve">Key stakeholders</w:t>
            </w:r>
          </w:p>
        </w:tc>
        <w:tc>
          <w:tcPr/>
          <w:p w:rsidR="00000000" w:rsidDel="00000000" w:rsidP="00000000" w:rsidRDefault="00000000" w:rsidRPr="00000000" w14:paraId="00000019">
            <w:pPr>
              <w:rPr/>
            </w:pPr>
            <w:r w:rsidDel="00000000" w:rsidR="00000000" w:rsidRPr="00000000">
              <w:rPr>
                <w:rtl w:val="0"/>
              </w:rPr>
              <w:t xml:space="preserve">[X] NRC [X] Municipality [X] Customary authorities [X] Community [X] Other: Notary </w:t>
            </w:r>
          </w:p>
        </w:tc>
      </w:tr>
    </w:tbl>
    <w:p w:rsidR="00000000" w:rsidDel="00000000" w:rsidP="00000000" w:rsidRDefault="00000000" w:rsidRPr="00000000" w14:paraId="0000001A">
      <w:pPr>
        <w:pStyle w:val="Title"/>
        <w:pBdr>
          <w:top w:color="000000" w:space="0" w:sz="0" w:val="none"/>
        </w:pBdr>
        <w:spacing w:before="480" w:lineRule="auto"/>
        <w:ind w:left="0" w:hanging="140.99999999999994"/>
        <w:rPr/>
      </w:pPr>
      <w:bookmarkStart w:colFirst="0" w:colLast="0" w:name="_heading=h.z7np1q56mxyv" w:id="2"/>
      <w:bookmarkEnd w:id="2"/>
      <w:r w:rsidDel="00000000" w:rsidR="00000000" w:rsidRPr="00000000">
        <w:rPr>
          <w:rtl w:val="0"/>
        </w:rPr>
        <w:t xml:space="preserve">CASE STUDY GUIDE</w:t>
      </w:r>
    </w:p>
    <w:p w:rsidR="00000000" w:rsidDel="00000000" w:rsidP="00000000" w:rsidRDefault="00000000" w:rsidRPr="00000000" w14:paraId="0000001B">
      <w:pPr>
        <w:pStyle w:val="Title"/>
        <w:numPr>
          <w:ilvl w:val="0"/>
          <w:numId w:val="6"/>
        </w:numPr>
        <w:spacing w:after="80" w:before="360" w:lineRule="auto"/>
        <w:ind w:left="720" w:hanging="360"/>
        <w:rPr/>
      </w:pPr>
      <w:bookmarkStart w:colFirst="0" w:colLast="0" w:name="_heading=h.ye8ie420ahb9" w:id="3"/>
      <w:bookmarkEnd w:id="3"/>
      <w:r w:rsidDel="00000000" w:rsidR="00000000" w:rsidRPr="00000000">
        <w:rPr>
          <w:rtl w:val="0"/>
        </w:rPr>
        <w:t xml:space="preserve"> PROBLEM CONTEXT (PRE-NRC)</w:t>
      </w:r>
    </w:p>
    <w:p w:rsidR="00000000" w:rsidDel="00000000" w:rsidP="00000000" w:rsidRDefault="00000000" w:rsidRPr="00000000" w14:paraId="0000001C">
      <w:pPr>
        <w:spacing w:after="240" w:before="240" w:line="240" w:lineRule="auto"/>
        <w:rPr/>
      </w:pPr>
      <w:r w:rsidDel="00000000" w:rsidR="00000000" w:rsidRPr="00000000">
        <w:rPr>
          <w:rtl w:val="0"/>
        </w:rPr>
        <w:t xml:space="preserve">Key land/housing problems:</w:t>
      </w:r>
    </w:p>
    <w:p w:rsidR="00000000" w:rsidDel="00000000" w:rsidP="00000000" w:rsidRDefault="00000000" w:rsidRPr="00000000" w14:paraId="0000001D">
      <w:pPr>
        <w:numPr>
          <w:ilvl w:val="0"/>
          <w:numId w:val="5"/>
        </w:numPr>
        <w:spacing w:after="0" w:before="240" w:line="240" w:lineRule="auto"/>
        <w:ind w:left="720" w:hanging="360"/>
        <w:rPr/>
      </w:pPr>
      <w:r w:rsidDel="00000000" w:rsidR="00000000" w:rsidRPr="00000000">
        <w:rPr>
          <w:rtl w:val="0"/>
        </w:rPr>
        <w:t xml:space="preserve">[X] High eviction risk</w:t>
      </w:r>
    </w:p>
    <w:p w:rsidR="00000000" w:rsidDel="00000000" w:rsidP="00000000" w:rsidRDefault="00000000" w:rsidRPr="00000000" w14:paraId="0000001E">
      <w:pPr>
        <w:numPr>
          <w:ilvl w:val="0"/>
          <w:numId w:val="5"/>
        </w:numPr>
        <w:spacing w:after="0" w:line="240" w:lineRule="auto"/>
        <w:ind w:left="720" w:hanging="360"/>
        <w:rPr/>
      </w:pPr>
      <w:r w:rsidDel="00000000" w:rsidR="00000000" w:rsidRPr="00000000">
        <w:rPr>
          <w:rtl w:val="0"/>
        </w:rPr>
        <w:t xml:space="preserve">[X] No documentation</w:t>
      </w:r>
    </w:p>
    <w:p w:rsidR="00000000" w:rsidDel="00000000" w:rsidP="00000000" w:rsidRDefault="00000000" w:rsidRPr="00000000" w14:paraId="0000001F">
      <w:pPr>
        <w:numPr>
          <w:ilvl w:val="0"/>
          <w:numId w:val="5"/>
        </w:numPr>
        <w:spacing w:after="0" w:line="240" w:lineRule="auto"/>
        <w:ind w:left="720" w:hanging="360"/>
        <w:rPr/>
      </w:pPr>
      <w:r w:rsidDel="00000000" w:rsidR="00000000" w:rsidRPr="00000000">
        <w:rPr>
          <w:rtl w:val="0"/>
        </w:rPr>
        <w:t xml:space="preserve">[X] Repeated displacement</w:t>
      </w:r>
    </w:p>
    <w:p w:rsidR="00000000" w:rsidDel="00000000" w:rsidP="00000000" w:rsidRDefault="00000000" w:rsidRPr="00000000" w14:paraId="00000020">
      <w:pPr>
        <w:numPr>
          <w:ilvl w:val="0"/>
          <w:numId w:val="5"/>
        </w:numPr>
        <w:spacing w:after="0" w:line="240" w:lineRule="auto"/>
        <w:ind w:left="720" w:hanging="360"/>
        <w:rPr/>
      </w:pPr>
      <w:r w:rsidDel="00000000" w:rsidR="00000000" w:rsidRPr="00000000">
        <w:rPr>
          <w:rtl w:val="0"/>
        </w:rPr>
        <w:t xml:space="preserve">[X] Land disputes</w:t>
      </w:r>
    </w:p>
    <w:p w:rsidR="00000000" w:rsidDel="00000000" w:rsidP="00000000" w:rsidRDefault="00000000" w:rsidRPr="00000000" w14:paraId="00000021">
      <w:pPr>
        <w:numPr>
          <w:ilvl w:val="0"/>
          <w:numId w:val="5"/>
        </w:numPr>
        <w:spacing w:after="0" w:line="240" w:lineRule="auto"/>
        <w:ind w:left="720" w:hanging="360"/>
        <w:rPr/>
      </w:pPr>
      <w:r w:rsidDel="00000000" w:rsidR="00000000" w:rsidRPr="00000000">
        <w:rPr>
          <w:rtl w:val="0"/>
        </w:rPr>
        <w:t xml:space="preserve">[X] Gender-specific barriers</w:t>
      </w:r>
    </w:p>
    <w:p w:rsidR="00000000" w:rsidDel="00000000" w:rsidP="00000000" w:rsidRDefault="00000000" w:rsidRPr="00000000" w14:paraId="00000022">
      <w:pPr>
        <w:numPr>
          <w:ilvl w:val="0"/>
          <w:numId w:val="5"/>
        </w:numPr>
        <w:spacing w:after="200" w:line="240" w:lineRule="auto"/>
        <w:ind w:left="720" w:hanging="360"/>
        <w:rPr/>
      </w:pPr>
      <w:r w:rsidDel="00000000" w:rsidR="00000000" w:rsidRPr="00000000">
        <w:rPr>
          <w:rtl w:val="0"/>
        </w:rPr>
        <w:t xml:space="preserve">[X] Other: Makeshift shelters, lack of services, insecurity</w:t>
      </w:r>
    </w:p>
    <w:p w:rsidR="00000000" w:rsidDel="00000000" w:rsidP="00000000" w:rsidRDefault="00000000" w:rsidRPr="00000000" w14:paraId="00000023">
      <w:pPr>
        <w:spacing w:after="240" w:before="240" w:line="240" w:lineRule="auto"/>
        <w:jc w:val="both"/>
        <w:rPr/>
      </w:pPr>
      <w:r w:rsidDel="00000000" w:rsidR="00000000" w:rsidRPr="00000000">
        <w:rPr>
          <w:rtl w:val="0"/>
        </w:rPr>
        <w:t xml:space="preserve">Before NRC’s intervention, IDPs in Baidoa experienced chronic and repeated displacement driven primarily by forced evictions from private land. Most households settled informally on privately owned land without written agreements, leaving them highly vulnerable to sudden eviction, often with no notice and linked to landlord opportunism. This resulted in repeated cycles of displacement, asset loss, and instability. Living conditions were extremely poor, with widespread makeshift shelters, lack of basic services, and acute protection risks, especially for women. Insecurity, including theft and GBV risks, was a major concern, particularly at night due to lack of lighting and secure housing. Land disputes were common due to lack of documentation, and communities lacked knowledge of formal land processes.</w:t>
      </w:r>
    </w:p>
    <w:p w:rsidR="00000000" w:rsidDel="00000000" w:rsidP="00000000" w:rsidRDefault="00000000" w:rsidRPr="00000000" w14:paraId="00000024">
      <w:pPr>
        <w:pStyle w:val="Title"/>
        <w:numPr>
          <w:ilvl w:val="0"/>
          <w:numId w:val="6"/>
        </w:numPr>
        <w:spacing w:after="80" w:before="200" w:lineRule="auto"/>
        <w:ind w:left="720" w:hanging="360"/>
        <w:rPr/>
      </w:pPr>
      <w:bookmarkStart w:colFirst="0" w:colLast="0" w:name="_heading=h.gsymkvpj4p8x" w:id="4"/>
      <w:bookmarkEnd w:id="4"/>
      <w:r w:rsidDel="00000000" w:rsidR="00000000" w:rsidRPr="00000000">
        <w:rPr>
          <w:rtl w:val="0"/>
        </w:rPr>
        <w:t xml:space="preserve"> NRC INTERVENTION &amp; MECHANISM</w:t>
      </w:r>
    </w:p>
    <w:p w:rsidR="00000000" w:rsidDel="00000000" w:rsidP="00000000" w:rsidRDefault="00000000" w:rsidRPr="00000000" w14:paraId="00000025">
      <w:pPr>
        <w:spacing w:after="240" w:before="240" w:line="240" w:lineRule="auto"/>
        <w:rPr/>
      </w:pPr>
      <w:r w:rsidDel="00000000" w:rsidR="00000000" w:rsidRPr="00000000">
        <w:rPr>
          <w:rtl w:val="0"/>
        </w:rPr>
        <w:t xml:space="preserve">What NRC did (core elements):</w:t>
      </w:r>
    </w:p>
    <w:p w:rsidR="00000000" w:rsidDel="00000000" w:rsidP="00000000" w:rsidRDefault="00000000" w:rsidRPr="00000000" w14:paraId="00000026">
      <w:pPr>
        <w:numPr>
          <w:ilvl w:val="0"/>
          <w:numId w:val="2"/>
        </w:numPr>
        <w:spacing w:after="0" w:before="240" w:line="240" w:lineRule="auto"/>
        <w:ind w:left="720" w:hanging="360"/>
        <w:rPr/>
      </w:pPr>
      <w:r w:rsidDel="00000000" w:rsidR="00000000" w:rsidRPr="00000000">
        <w:rPr>
          <w:rtl w:val="0"/>
        </w:rPr>
        <w:t xml:space="preserve">[X] Land access / allocation</w:t>
      </w:r>
    </w:p>
    <w:p w:rsidR="00000000" w:rsidDel="00000000" w:rsidP="00000000" w:rsidRDefault="00000000" w:rsidRPr="00000000" w14:paraId="00000027">
      <w:pPr>
        <w:numPr>
          <w:ilvl w:val="0"/>
          <w:numId w:val="2"/>
        </w:numPr>
        <w:spacing w:after="0" w:line="240" w:lineRule="auto"/>
        <w:ind w:left="720" w:hanging="360"/>
        <w:rPr/>
      </w:pPr>
      <w:r w:rsidDel="00000000" w:rsidR="00000000" w:rsidRPr="00000000">
        <w:rPr>
          <w:rtl w:val="0"/>
        </w:rPr>
        <w:t xml:space="preserve">[X] Documentation / agreements</w:t>
      </w:r>
    </w:p>
    <w:p w:rsidR="00000000" w:rsidDel="00000000" w:rsidP="00000000" w:rsidRDefault="00000000" w:rsidRPr="00000000" w14:paraId="00000028">
      <w:pPr>
        <w:numPr>
          <w:ilvl w:val="0"/>
          <w:numId w:val="2"/>
        </w:numPr>
        <w:spacing w:after="0" w:line="240" w:lineRule="auto"/>
        <w:ind w:left="720" w:hanging="360"/>
        <w:rPr/>
      </w:pPr>
      <w:r w:rsidDel="00000000" w:rsidR="00000000" w:rsidRPr="00000000">
        <w:rPr>
          <w:rtl w:val="0"/>
        </w:rPr>
        <w:t xml:space="preserve">[X] Mediation / negotiation</w:t>
      </w:r>
    </w:p>
    <w:p w:rsidR="00000000" w:rsidDel="00000000" w:rsidP="00000000" w:rsidRDefault="00000000" w:rsidRPr="00000000" w14:paraId="00000029">
      <w:pPr>
        <w:numPr>
          <w:ilvl w:val="0"/>
          <w:numId w:val="2"/>
        </w:numPr>
        <w:spacing w:after="0" w:line="240" w:lineRule="auto"/>
        <w:ind w:left="720" w:hanging="360"/>
        <w:rPr/>
      </w:pPr>
      <w:r w:rsidDel="00000000" w:rsidR="00000000" w:rsidRPr="00000000">
        <w:rPr>
          <w:rtl w:val="0"/>
        </w:rPr>
        <w:t xml:space="preserve">[X] Eviction prevention</w:t>
      </w:r>
    </w:p>
    <w:p w:rsidR="00000000" w:rsidDel="00000000" w:rsidP="00000000" w:rsidRDefault="00000000" w:rsidRPr="00000000" w14:paraId="0000002A">
      <w:pPr>
        <w:numPr>
          <w:ilvl w:val="0"/>
          <w:numId w:val="2"/>
        </w:numPr>
        <w:spacing w:after="0" w:line="240" w:lineRule="auto"/>
        <w:ind w:left="720" w:hanging="360"/>
        <w:rPr/>
      </w:pPr>
      <w:r w:rsidDel="00000000" w:rsidR="00000000" w:rsidRPr="00000000">
        <w:rPr>
          <w:rtl w:val="0"/>
        </w:rPr>
        <w:t xml:space="preserve">[X] Shelter linked to tenure</w:t>
      </w:r>
    </w:p>
    <w:p w:rsidR="00000000" w:rsidDel="00000000" w:rsidP="00000000" w:rsidRDefault="00000000" w:rsidRPr="00000000" w14:paraId="0000002B">
      <w:pPr>
        <w:numPr>
          <w:ilvl w:val="0"/>
          <w:numId w:val="2"/>
        </w:numPr>
        <w:spacing w:after="200" w:line="240" w:lineRule="auto"/>
        <w:ind w:left="720" w:hanging="360"/>
        <w:rPr/>
      </w:pPr>
      <w:r w:rsidDel="00000000" w:rsidR="00000000" w:rsidRPr="00000000">
        <w:rPr>
          <w:rtl w:val="0"/>
        </w:rPr>
        <w:t xml:space="preserve">[X] Other: Land purchase facilitation, notary-based titling, community dispute committees</w:t>
      </w:r>
    </w:p>
    <w:p w:rsidR="00000000" w:rsidDel="00000000" w:rsidP="00000000" w:rsidRDefault="00000000" w:rsidRPr="00000000" w14:paraId="0000002C">
      <w:pPr>
        <w:spacing w:after="240" w:before="240" w:line="240" w:lineRule="auto"/>
        <w:rPr/>
      </w:pPr>
      <w:r w:rsidDel="00000000" w:rsidR="00000000" w:rsidRPr="00000000">
        <w:rPr>
          <w:rtl w:val="0"/>
        </w:rPr>
        <w:t xml:space="preserve">NRC’s intervention in Baidoa combined land purchase facilitation, formal documentation, and shelter support, underpinned by strong collaboration with municipality and public notaries. A defining feature of the Baidoa model is that many IDPs purchased land themselves (often through community savings), with NRC supporting legalisation through title deeds and documentation.</w:t>
      </w:r>
    </w:p>
    <w:p w:rsidR="00000000" w:rsidDel="00000000" w:rsidP="00000000" w:rsidRDefault="00000000" w:rsidRPr="00000000" w14:paraId="0000002D">
      <w:pPr>
        <w:spacing w:after="240" w:before="240" w:line="240" w:lineRule="auto"/>
        <w:rPr/>
      </w:pPr>
      <w:r w:rsidDel="00000000" w:rsidR="00000000" w:rsidRPr="00000000">
        <w:rPr>
          <w:rtl w:val="0"/>
        </w:rPr>
        <w:t xml:space="preserve">The programme also included housing construction, awareness-raising on HLP rights, and establishment of community-based dispute resolution committees. Importantly, NRC embedded the intervention within formal systems, ensuring documentation was legally recognised and integrated into municipal processes.</w:t>
      </w:r>
    </w:p>
    <w:p w:rsidR="00000000" w:rsidDel="00000000" w:rsidP="00000000" w:rsidRDefault="00000000" w:rsidRPr="00000000" w14:paraId="0000002E">
      <w:pPr>
        <w:spacing w:after="200" w:line="240" w:lineRule="auto"/>
        <w:ind w:left="0" w:firstLine="0"/>
        <w:rPr/>
      </w:pPr>
      <w:r w:rsidDel="00000000" w:rsidR="00000000" w:rsidRPr="00000000">
        <w:rPr>
          <w:rtl w:val="0"/>
        </w:rPr>
      </w:r>
    </w:p>
    <w:p w:rsidR="00000000" w:rsidDel="00000000" w:rsidP="00000000" w:rsidRDefault="00000000" w:rsidRPr="00000000" w14:paraId="0000002F">
      <w:pPr>
        <w:pStyle w:val="Title"/>
        <w:numPr>
          <w:ilvl w:val="0"/>
          <w:numId w:val="6"/>
        </w:numPr>
        <w:spacing w:after="80" w:before="200" w:lineRule="auto"/>
        <w:ind w:left="720" w:hanging="360"/>
        <w:rPr/>
      </w:pPr>
      <w:bookmarkStart w:colFirst="0" w:colLast="0" w:name="_heading=h.g6kbzmq03eoz" w:id="5"/>
      <w:bookmarkEnd w:id="5"/>
      <w:r w:rsidDel="00000000" w:rsidR="00000000" w:rsidRPr="00000000">
        <w:rPr>
          <w:rtl w:val="0"/>
        </w:rPr>
        <w:t xml:space="preserve">OUTCOMES ACHIEVED</w:t>
      </w:r>
    </w:p>
    <w:tbl>
      <w:tblPr>
        <w:tblStyle w:val="Table4"/>
        <w:tblW w:w="96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85"/>
        <w:gridCol w:w="3855"/>
        <w:gridCol w:w="3450"/>
        <w:tblGridChange w:id="0">
          <w:tblGrid>
            <w:gridCol w:w="2385"/>
            <w:gridCol w:w="3855"/>
            <w:gridCol w:w="3450"/>
          </w:tblGrid>
        </w:tblGridChange>
      </w:tblGrid>
      <w:tr>
        <w:trPr>
          <w:cantSplit w:val="0"/>
          <w:trHeight w:val="515" w:hRule="atLeast"/>
          <w:tblHeader w:val="0"/>
        </w:trPr>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30">
            <w:pPr>
              <w:spacing w:after="0" w:line="240" w:lineRule="auto"/>
              <w:jc w:val="center"/>
              <w:rPr/>
            </w:pPr>
            <w:r w:rsidDel="00000000" w:rsidR="00000000" w:rsidRPr="00000000">
              <w:rPr>
                <w:b w:val="1"/>
                <w:bCs w:val="1"/>
                <w:rtl w:val="0"/>
              </w:rPr>
              <w:t xml:space="preserve">Outcome area</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31">
            <w:pPr>
              <w:spacing w:after="0" w:line="240" w:lineRule="auto"/>
              <w:jc w:val="center"/>
              <w:rPr/>
            </w:pPr>
            <w:r w:rsidDel="00000000" w:rsidR="00000000" w:rsidRPr="00000000">
              <w:rPr>
                <w:b w:val="1"/>
                <w:bCs w:val="1"/>
                <w:rtl w:val="0"/>
              </w:rPr>
              <w:t xml:space="preserve">Assessment</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32">
            <w:pPr>
              <w:spacing w:after="0" w:line="240" w:lineRule="auto"/>
              <w:jc w:val="center"/>
              <w:rPr/>
            </w:pPr>
            <w:r w:rsidDel="00000000" w:rsidR="00000000" w:rsidRPr="00000000">
              <w:rPr>
                <w:b w:val="1"/>
                <w:bCs w:val="1"/>
                <w:rtl w:val="0"/>
              </w:rPr>
              <w:t xml:space="preserve">Evidence</w:t>
            </w:r>
            <w:r w:rsidDel="00000000" w:rsidR="00000000" w:rsidRPr="00000000">
              <w:rPr>
                <w:rtl w:val="0"/>
              </w:rPr>
            </w:r>
          </w:p>
        </w:tc>
      </w:tr>
      <w:tr>
        <w:trPr>
          <w:cantSplit w:val="0"/>
          <w:trHeight w:val="515" w:hRule="atLeast"/>
          <w:tblHeader w:val="0"/>
        </w:trPr>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33">
            <w:pPr>
              <w:spacing w:after="0" w:line="240" w:lineRule="auto"/>
              <w:rPr/>
            </w:pPr>
            <w:r w:rsidDel="00000000" w:rsidR="00000000" w:rsidRPr="00000000">
              <w:rPr>
                <w:b w:val="1"/>
                <w:bCs w:val="1"/>
                <w:rtl w:val="0"/>
              </w:rPr>
              <w:t xml:space="preserve">Tenure security</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34">
            <w:pPr>
              <w:spacing w:after="0" w:line="240" w:lineRule="auto"/>
              <w:rPr/>
            </w:pPr>
            <w:r w:rsidDel="00000000" w:rsidR="00000000" w:rsidRPr="00000000">
              <w:rPr>
                <w:rtl w:val="0"/>
              </w:rPr>
              <w:t xml:space="preserve">[X] Strong [ ] Mixed [ ] Weak</w:t>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35">
            <w:pPr>
              <w:spacing w:after="240" w:before="240" w:line="240" w:lineRule="auto"/>
              <w:rPr/>
            </w:pPr>
            <w:r w:rsidDel="00000000" w:rsidR="00000000" w:rsidRPr="00000000">
              <w:rPr>
                <w:rtl w:val="0"/>
              </w:rPr>
              <w:t xml:space="preserve">Households consistently report a strong sense of ownership and permanence linked to documented land rights and title deeds. Beneficiaries emphasise that owning land has eliminated previous uncertainty and provided long-term protection from displacement.</w:t>
            </w:r>
          </w:p>
        </w:tc>
      </w:tr>
      <w:tr>
        <w:trPr>
          <w:cantSplit w:val="0"/>
          <w:trHeight w:val="515" w:hRule="atLeast"/>
          <w:tblHeader w:val="0"/>
        </w:trPr>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36">
            <w:pPr>
              <w:spacing w:after="0" w:line="240" w:lineRule="auto"/>
              <w:rPr/>
            </w:pPr>
            <w:r w:rsidDel="00000000" w:rsidR="00000000" w:rsidRPr="00000000">
              <w:rPr>
                <w:b w:val="1"/>
                <w:bCs w:val="1"/>
                <w:rtl w:val="0"/>
              </w:rPr>
              <w:t xml:space="preserve">Eviction risk</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37">
            <w:pPr>
              <w:spacing w:after="0" w:line="240" w:lineRule="auto"/>
              <w:rPr/>
            </w:pPr>
            <w:r w:rsidDel="00000000" w:rsidR="00000000" w:rsidRPr="00000000">
              <w:rPr>
                <w:rtl w:val="0"/>
              </w:rPr>
              <w:t xml:space="preserve">[X] Reduced [ ] Mixed [ ] Unchanged</w:t>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38">
            <w:pPr>
              <w:spacing w:after="240" w:before="240" w:line="240" w:lineRule="auto"/>
              <w:rPr/>
            </w:pPr>
            <w:r w:rsidDel="00000000" w:rsidR="00000000" w:rsidRPr="00000000">
              <w:rPr>
                <w:rtl w:val="0"/>
              </w:rPr>
              <w:t xml:space="preserve">Eviction risk has significantly reduced compared to pre-intervention conditions, where households faced repeated forced displacement. Ownership and documentation are explicitly cited as the key factors preventing eviction.</w:t>
            </w:r>
          </w:p>
        </w:tc>
      </w:tr>
      <w:tr>
        <w:trPr>
          <w:cantSplit w:val="0"/>
          <w:trHeight w:val="515" w:hRule="atLeast"/>
          <w:tblHeader w:val="0"/>
        </w:trPr>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39">
            <w:pPr>
              <w:spacing w:after="0" w:line="240" w:lineRule="auto"/>
              <w:rPr/>
            </w:pPr>
            <w:r w:rsidDel="00000000" w:rsidR="00000000" w:rsidRPr="00000000">
              <w:rPr>
                <w:b w:val="1"/>
                <w:bCs w:val="1"/>
                <w:rtl w:val="0"/>
              </w:rPr>
              <w:t xml:space="preserve">Dispute resolution</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3A">
            <w:pPr>
              <w:spacing w:after="0" w:line="240" w:lineRule="auto"/>
              <w:rPr/>
            </w:pPr>
            <w:r w:rsidDel="00000000" w:rsidR="00000000" w:rsidRPr="00000000">
              <w:rPr>
                <w:rtl w:val="0"/>
              </w:rPr>
              <w:t xml:space="preserve">[X] Improved [ ] Some change [ ] No change</w:t>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3B">
            <w:pPr>
              <w:spacing w:after="240" w:before="240" w:line="240" w:lineRule="auto"/>
              <w:rPr/>
            </w:pPr>
            <w:r w:rsidDel="00000000" w:rsidR="00000000" w:rsidRPr="00000000">
              <w:rPr>
                <w:rtl w:val="0"/>
              </w:rPr>
              <w:t xml:space="preserve">Dispute resolution has improved through the introduction of formal documentation and community-based committees. Legal documents are now used as the primary tool to resolve disputes, reducing conflict and uncertainty.</w:t>
            </w:r>
          </w:p>
        </w:tc>
      </w:tr>
      <w:tr>
        <w:trPr>
          <w:cantSplit w:val="0"/>
          <w:trHeight w:val="515" w:hRule="atLeast"/>
          <w:tblHeader w:val="0"/>
        </w:trPr>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3C">
            <w:pPr>
              <w:spacing w:after="0" w:line="240" w:lineRule="auto"/>
              <w:rPr/>
            </w:pPr>
            <w:r w:rsidDel="00000000" w:rsidR="00000000" w:rsidRPr="00000000">
              <w:rPr>
                <w:b w:val="1"/>
                <w:bCs w:val="1"/>
                <w:rtl w:val="0"/>
              </w:rPr>
              <w:t xml:space="preserve">Housing / investment</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3D">
            <w:pPr>
              <w:spacing w:after="0" w:line="240" w:lineRule="auto"/>
              <w:rPr/>
            </w:pPr>
            <w:r w:rsidDel="00000000" w:rsidR="00000000" w:rsidRPr="00000000">
              <w:rPr>
                <w:rtl w:val="0"/>
              </w:rPr>
              <w:t xml:space="preserve">[ ] Significant [X] Some [ ] Minimal</w:t>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3E">
            <w:pPr>
              <w:spacing w:after="240" w:before="240" w:line="240" w:lineRule="auto"/>
              <w:rPr/>
            </w:pPr>
            <w:r w:rsidDel="00000000" w:rsidR="00000000" w:rsidRPr="00000000">
              <w:rPr>
                <w:rtl w:val="0"/>
              </w:rPr>
              <w:t xml:space="preserve">Housing conditions improved through NRC-supported construction of basic shelters; however, improvements remain limited due to overcrowding and lack of resources for expansion.</w:t>
            </w:r>
          </w:p>
        </w:tc>
      </w:tr>
      <w:tr>
        <w:trPr>
          <w:cantSplit w:val="0"/>
          <w:trHeight w:val="515" w:hRule="atLeast"/>
          <w:tblHeader w:val="0"/>
        </w:trPr>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3F">
            <w:pPr>
              <w:spacing w:after="0" w:line="240" w:lineRule="auto"/>
              <w:rPr/>
            </w:pPr>
            <w:r w:rsidDel="00000000" w:rsidR="00000000" w:rsidRPr="00000000">
              <w:rPr>
                <w:b w:val="1"/>
                <w:bCs w:val="1"/>
                <w:rtl w:val="0"/>
              </w:rPr>
              <w:t xml:space="preserve">Safety &amp; stability</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40">
            <w:pPr>
              <w:spacing w:after="0" w:line="240" w:lineRule="auto"/>
              <w:rPr/>
            </w:pPr>
            <w:r w:rsidDel="00000000" w:rsidR="00000000" w:rsidRPr="00000000">
              <w:rPr>
                <w:rtl w:val="0"/>
              </w:rPr>
              <w:t xml:space="preserve">[X] Improved [ ] Mixed [ ] No change</w:t>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41">
            <w:pPr>
              <w:spacing w:after="240" w:before="240" w:line="240" w:lineRule="auto"/>
              <w:rPr/>
            </w:pPr>
            <w:r w:rsidDel="00000000" w:rsidR="00000000" w:rsidRPr="00000000">
              <w:rPr>
                <w:rtl w:val="0"/>
              </w:rPr>
              <w:t xml:space="preserve">Safety and stability improved significantly due to secure tenure, better shelter, and reduced displacement. Households report greater peace of mind, improved daily life, and stronger community cohesion.</w:t>
            </w:r>
          </w:p>
        </w:tc>
      </w:tr>
    </w:tbl>
    <w:p w:rsidR="00000000" w:rsidDel="00000000" w:rsidP="00000000" w:rsidRDefault="00000000" w:rsidRPr="00000000" w14:paraId="00000042">
      <w:pPr>
        <w:spacing w:after="240" w:before="240" w:lineRule="auto"/>
        <w:jc w:val="both"/>
        <w:rPr/>
      </w:pPr>
      <w:r w:rsidDel="00000000" w:rsidR="00000000" w:rsidRPr="00000000">
        <w:rPr>
          <w:rtl w:val="0"/>
        </w:rPr>
        <w:t xml:space="preserve">NRC intervention led to substantial improvements in tenure security, with most households now owning land with formal documentation and reporting that they no longer fear eviction. Evictions have declined significantly, and disputes have become easier to resolve due to clear documentation.</w:t>
      </w:r>
    </w:p>
    <w:p w:rsidR="00000000" w:rsidDel="00000000" w:rsidP="00000000" w:rsidRDefault="00000000" w:rsidRPr="00000000" w14:paraId="00000043">
      <w:pPr>
        <w:spacing w:after="240" w:before="240" w:lineRule="auto"/>
        <w:jc w:val="both"/>
        <w:rPr/>
      </w:pPr>
      <w:r w:rsidDel="00000000" w:rsidR="00000000" w:rsidRPr="00000000">
        <w:rPr>
          <w:rtl w:val="0"/>
        </w:rPr>
        <w:t xml:space="preserve">The programme also contributed to improved safety, social cohesion, and access to services, as documented settlements attracted further investment. However, while tenure security improved strongly, housing quality and basic services remain inadequate, with many households still living in overcrowded single-room shelters.</w:t>
      </w:r>
      <w:r w:rsidDel="00000000" w:rsidR="00000000" w:rsidRPr="00000000">
        <w:rPr>
          <w:rtl w:val="0"/>
        </w:rPr>
      </w:r>
    </w:p>
    <w:p w:rsidR="00000000" w:rsidDel="00000000" w:rsidP="00000000" w:rsidRDefault="00000000" w:rsidRPr="00000000" w14:paraId="00000044">
      <w:pPr>
        <w:pStyle w:val="Title"/>
        <w:numPr>
          <w:ilvl w:val="0"/>
          <w:numId w:val="6"/>
        </w:numPr>
        <w:spacing w:after="80" w:before="360" w:lineRule="auto"/>
        <w:ind w:left="720" w:hanging="360"/>
        <w:rPr/>
      </w:pPr>
      <w:bookmarkStart w:colFirst="0" w:colLast="0" w:name="_heading=h.fqsx7bosay2m" w:id="6"/>
      <w:bookmarkEnd w:id="6"/>
      <w:r w:rsidDel="00000000" w:rsidR="00000000" w:rsidRPr="00000000">
        <w:rPr>
          <w:rtl w:val="0"/>
        </w:rPr>
        <w:t xml:space="preserve">GENDER &amp; INCLUSION</w:t>
      </w:r>
    </w:p>
    <w:p w:rsidR="00000000" w:rsidDel="00000000" w:rsidP="00000000" w:rsidRDefault="00000000" w:rsidRPr="00000000" w14:paraId="00000045">
      <w:pPr>
        <w:spacing w:after="240" w:before="240" w:line="240" w:lineRule="auto"/>
        <w:rPr/>
      </w:pPr>
      <w:r w:rsidDel="00000000" w:rsidR="00000000" w:rsidRPr="00000000">
        <w:rPr>
          <w:rtl w:val="0"/>
        </w:rPr>
        <w:t xml:space="preserve">Women's and vulnerable groups’ tenure protection in practice:</w:t>
      </w:r>
    </w:p>
    <w:p w:rsidR="00000000" w:rsidDel="00000000" w:rsidP="00000000" w:rsidRDefault="00000000" w:rsidRPr="00000000" w14:paraId="00000046">
      <w:pPr>
        <w:numPr>
          <w:ilvl w:val="0"/>
          <w:numId w:val="7"/>
        </w:numPr>
        <w:spacing w:after="0" w:before="240" w:line="240" w:lineRule="auto"/>
        <w:ind w:left="720" w:hanging="360"/>
        <w:rPr/>
      </w:pPr>
      <w:r w:rsidDel="00000000" w:rsidR="00000000" w:rsidRPr="00000000">
        <w:rPr>
          <w:rtl w:val="0"/>
        </w:rPr>
        <w:t xml:space="preserve">[ ] Strong</w:t>
      </w:r>
    </w:p>
    <w:p w:rsidR="00000000" w:rsidDel="00000000" w:rsidP="00000000" w:rsidRDefault="00000000" w:rsidRPr="00000000" w14:paraId="00000047">
      <w:pPr>
        <w:numPr>
          <w:ilvl w:val="0"/>
          <w:numId w:val="7"/>
        </w:numPr>
        <w:spacing w:after="0" w:line="240" w:lineRule="auto"/>
        <w:ind w:left="720" w:hanging="360"/>
        <w:rPr/>
      </w:pPr>
      <w:r w:rsidDel="00000000" w:rsidR="00000000" w:rsidRPr="00000000">
        <w:rPr>
          <w:rtl w:val="0"/>
        </w:rPr>
        <w:t xml:space="preserve">[X] Conditional</w:t>
      </w:r>
    </w:p>
    <w:p w:rsidR="00000000" w:rsidDel="00000000" w:rsidP="00000000" w:rsidRDefault="00000000" w:rsidRPr="00000000" w14:paraId="00000048">
      <w:pPr>
        <w:numPr>
          <w:ilvl w:val="0"/>
          <w:numId w:val="7"/>
        </w:numPr>
        <w:spacing w:after="200" w:line="240" w:lineRule="auto"/>
        <w:ind w:left="720" w:hanging="360"/>
        <w:rPr/>
      </w:pPr>
      <w:r w:rsidDel="00000000" w:rsidR="00000000" w:rsidRPr="00000000">
        <w:rPr>
          <w:rtl w:val="0"/>
        </w:rPr>
        <w:t xml:space="preserve">[ ] Weak</w:t>
      </w:r>
    </w:p>
    <w:p w:rsidR="00000000" w:rsidDel="00000000" w:rsidP="00000000" w:rsidRDefault="00000000" w:rsidRPr="00000000" w14:paraId="00000049">
      <w:pPr>
        <w:spacing w:after="240" w:before="240" w:line="240" w:lineRule="auto"/>
        <w:jc w:val="both"/>
        <w:rPr/>
      </w:pPr>
      <w:r w:rsidDel="00000000" w:rsidR="00000000" w:rsidRPr="00000000">
        <w:rPr>
          <w:rtl w:val="0"/>
        </w:rPr>
        <w:t xml:space="preserve">Women in Baidoa were actively included in participation processes, including decision-making, committees, and in some cases direct land ownership. Female-headed households were explicitly supported, and women reported improved tenure security and recognition. However, inclusion remains conditional and uneven in practice. While women can own land, this is often dependent on financial capacity or mediated through household structures. Women also continue to face greater exposure to protection risks in contexts of poor shelter and services, and overcrowded housing disproportionately affects them.</w:t>
      </w:r>
    </w:p>
    <w:p w:rsidR="00000000" w:rsidDel="00000000" w:rsidP="00000000" w:rsidRDefault="00000000" w:rsidRPr="00000000" w14:paraId="0000004A">
      <w:pPr>
        <w:spacing w:after="200" w:line="240" w:lineRule="auto"/>
        <w:ind w:left="0" w:firstLine="0"/>
        <w:rPr/>
      </w:pPr>
      <w:r w:rsidDel="00000000" w:rsidR="00000000" w:rsidRPr="00000000">
        <w:rPr>
          <w:rtl w:val="0"/>
        </w:rPr>
      </w:r>
    </w:p>
    <w:p w:rsidR="00000000" w:rsidDel="00000000" w:rsidP="00000000" w:rsidRDefault="00000000" w:rsidRPr="00000000" w14:paraId="0000004B">
      <w:pPr>
        <w:pStyle w:val="Title"/>
        <w:numPr>
          <w:ilvl w:val="0"/>
          <w:numId w:val="6"/>
        </w:numPr>
        <w:spacing w:after="80" w:before="200" w:lineRule="auto"/>
        <w:ind w:left="720" w:hanging="360"/>
        <w:rPr/>
      </w:pPr>
      <w:bookmarkStart w:colFirst="0" w:colLast="0" w:name="_heading=h.a1eprymrzvv7" w:id="7"/>
      <w:bookmarkEnd w:id="7"/>
      <w:r w:rsidDel="00000000" w:rsidR="00000000" w:rsidRPr="00000000">
        <w:rPr>
          <w:rtl w:val="0"/>
        </w:rPr>
        <w:t xml:space="preserve"> SUSTAINABILITY &amp; EXIT READINESS</w:t>
      </w:r>
    </w:p>
    <w:tbl>
      <w:tblPr>
        <w:tblStyle w:val="Table5"/>
        <w:tblW w:w="8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995"/>
        <w:gridCol w:w="4265"/>
        <w:tblGridChange w:id="0">
          <w:tblGrid>
            <w:gridCol w:w="3995"/>
            <w:gridCol w:w="4265"/>
          </w:tblGrid>
        </w:tblGridChange>
      </w:tblGrid>
      <w:tr>
        <w:trPr>
          <w:cantSplit w:val="0"/>
          <w:trHeight w:val="515" w:hRule="atLeast"/>
          <w:tblHeader w:val="0"/>
        </w:trPr>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4C">
            <w:pPr>
              <w:spacing w:after="0" w:line="240" w:lineRule="auto"/>
              <w:jc w:val="center"/>
              <w:rPr/>
            </w:pPr>
            <w:r w:rsidDel="00000000" w:rsidR="00000000" w:rsidRPr="00000000">
              <w:rPr>
                <w:b w:val="1"/>
                <w:bCs w:val="1"/>
                <w:rtl w:val="0"/>
              </w:rPr>
              <w:t xml:space="preserve">Dimension</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4D">
            <w:pPr>
              <w:spacing w:after="0" w:line="240" w:lineRule="auto"/>
              <w:jc w:val="center"/>
              <w:rPr/>
            </w:pPr>
            <w:r w:rsidDel="00000000" w:rsidR="00000000" w:rsidRPr="00000000">
              <w:rPr>
                <w:b w:val="1"/>
                <w:bCs w:val="1"/>
                <w:rtl w:val="0"/>
              </w:rPr>
              <w:t xml:space="preserve">Assessment</w:t>
            </w:r>
            <w:r w:rsidDel="00000000" w:rsidR="00000000" w:rsidRPr="00000000">
              <w:rPr>
                <w:rtl w:val="0"/>
              </w:rPr>
            </w:r>
          </w:p>
        </w:tc>
      </w:tr>
      <w:tr>
        <w:trPr>
          <w:cantSplit w:val="0"/>
          <w:trHeight w:val="515" w:hRule="atLeast"/>
          <w:tblHeader w:val="0"/>
        </w:trPr>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4E">
            <w:pPr>
              <w:spacing w:after="0" w:line="240" w:lineRule="auto"/>
              <w:rPr/>
            </w:pPr>
            <w:r w:rsidDel="00000000" w:rsidR="00000000" w:rsidRPr="00000000">
              <w:rPr>
                <w:b w:val="1"/>
                <w:bCs w:val="1"/>
                <w:rtl w:val="0"/>
              </w:rPr>
              <w:t xml:space="preserve">Institutional ownership</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4F">
            <w:pPr>
              <w:spacing w:after="0" w:line="240" w:lineRule="auto"/>
              <w:rPr/>
            </w:pPr>
            <w:r w:rsidDel="00000000" w:rsidR="00000000" w:rsidRPr="00000000">
              <w:rPr>
                <w:rtl w:val="0"/>
              </w:rPr>
              <w:t xml:space="preserve">[ ] Strong [X] Partial [ ] Weak</w:t>
            </w:r>
          </w:p>
        </w:tc>
      </w:tr>
      <w:tr>
        <w:trPr>
          <w:cantSplit w:val="0"/>
          <w:trHeight w:val="515" w:hRule="atLeast"/>
          <w:tblHeader w:val="0"/>
        </w:trPr>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50">
            <w:pPr>
              <w:spacing w:after="0" w:line="240" w:lineRule="auto"/>
              <w:rPr/>
            </w:pPr>
            <w:r w:rsidDel="00000000" w:rsidR="00000000" w:rsidRPr="00000000">
              <w:rPr>
                <w:b w:val="1"/>
                <w:bCs w:val="1"/>
                <w:rtl w:val="0"/>
              </w:rPr>
              <w:t xml:space="preserve">Dispute resolution after NRC</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51">
            <w:pPr>
              <w:spacing w:after="0" w:line="240" w:lineRule="auto"/>
              <w:rPr/>
            </w:pPr>
            <w:r w:rsidDel="00000000" w:rsidR="00000000" w:rsidRPr="00000000">
              <w:rPr>
                <w:rtl w:val="0"/>
              </w:rPr>
              <w:t xml:space="preserve">[X] Functional [ ] Uncertain [ ] Absent</w:t>
            </w:r>
          </w:p>
        </w:tc>
      </w:tr>
      <w:tr>
        <w:trPr>
          <w:cantSplit w:val="0"/>
          <w:trHeight w:val="515" w:hRule="atLeast"/>
          <w:tblHeader w:val="0"/>
        </w:trPr>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52">
            <w:pPr>
              <w:spacing w:after="0" w:line="240" w:lineRule="auto"/>
              <w:rPr/>
            </w:pPr>
            <w:r w:rsidDel="00000000" w:rsidR="00000000" w:rsidRPr="00000000">
              <w:rPr>
                <w:b w:val="1"/>
                <w:bCs w:val="1"/>
                <w:rtl w:val="0"/>
              </w:rPr>
              <w:t xml:space="preserve">Affordability of fees/taxes</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53">
            <w:pPr>
              <w:spacing w:after="0" w:line="240" w:lineRule="auto"/>
              <w:rPr/>
            </w:pPr>
            <w:r w:rsidDel="00000000" w:rsidR="00000000" w:rsidRPr="00000000">
              <w:rPr>
                <w:rtl w:val="0"/>
              </w:rPr>
              <w:t xml:space="preserve">[ ] Manageable [X] Mixed [ ] Unaffordable</w:t>
            </w:r>
          </w:p>
        </w:tc>
      </w:tr>
      <w:tr>
        <w:trPr>
          <w:cantSplit w:val="0"/>
          <w:trHeight w:val="515" w:hRule="atLeast"/>
          <w:tblHeader w:val="0"/>
        </w:trPr>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54">
            <w:pPr>
              <w:spacing w:after="0" w:line="240" w:lineRule="auto"/>
              <w:rPr/>
            </w:pPr>
            <w:r w:rsidDel="00000000" w:rsidR="00000000" w:rsidRPr="00000000">
              <w:rPr>
                <w:b w:val="1"/>
                <w:bCs w:val="1"/>
                <w:rtl w:val="0"/>
              </w:rPr>
              <w:t xml:space="preserve">Resilience to political/market change</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55">
            <w:pPr>
              <w:spacing w:after="0" w:line="240" w:lineRule="auto"/>
              <w:rPr/>
            </w:pPr>
            <w:r w:rsidDel="00000000" w:rsidR="00000000" w:rsidRPr="00000000">
              <w:rPr>
                <w:rtl w:val="0"/>
              </w:rPr>
              <w:t xml:space="preserve">[ ] High [X] Medium [ ] Low</w:t>
            </w:r>
          </w:p>
        </w:tc>
      </w:tr>
    </w:tbl>
    <w:p w:rsidR="00000000" w:rsidDel="00000000" w:rsidP="00000000" w:rsidRDefault="00000000" w:rsidRPr="00000000" w14:paraId="00000056">
      <w:pPr>
        <w:spacing w:after="240" w:before="240" w:line="240" w:lineRule="auto"/>
        <w:rPr>
          <w:b w:val="1"/>
          <w:bCs w:val="1"/>
        </w:rPr>
      </w:pPr>
      <w:r w:rsidDel="00000000" w:rsidR="00000000" w:rsidRPr="00000000">
        <w:rPr>
          <w:b w:val="1"/>
          <w:bCs w:val="1"/>
          <w:rtl w:val="0"/>
        </w:rPr>
        <w:t xml:space="preserve">Overall durability judgement:</w:t>
      </w:r>
    </w:p>
    <w:p w:rsidR="00000000" w:rsidDel="00000000" w:rsidP="00000000" w:rsidRDefault="00000000" w:rsidRPr="00000000" w14:paraId="00000057">
      <w:pPr>
        <w:numPr>
          <w:ilvl w:val="0"/>
          <w:numId w:val="3"/>
        </w:numPr>
        <w:spacing w:after="0" w:before="240" w:line="240" w:lineRule="auto"/>
        <w:ind w:left="720" w:hanging="360"/>
        <w:rPr/>
      </w:pPr>
      <w:r w:rsidDel="00000000" w:rsidR="00000000" w:rsidRPr="00000000">
        <w:rPr>
          <w:rtl w:val="0"/>
        </w:rPr>
        <w:t xml:space="preserve">[ ] Durable</w:t>
      </w:r>
    </w:p>
    <w:p w:rsidR="00000000" w:rsidDel="00000000" w:rsidP="00000000" w:rsidRDefault="00000000" w:rsidRPr="00000000" w14:paraId="00000058">
      <w:pPr>
        <w:numPr>
          <w:ilvl w:val="0"/>
          <w:numId w:val="3"/>
        </w:numPr>
        <w:spacing w:after="0" w:line="240" w:lineRule="auto"/>
        <w:ind w:left="720" w:hanging="360"/>
        <w:rPr/>
      </w:pPr>
      <w:r w:rsidDel="00000000" w:rsidR="00000000" w:rsidRPr="00000000">
        <w:rPr>
          <w:rtl w:val="0"/>
        </w:rPr>
        <w:t xml:space="preserve">[X] Conditional</w:t>
      </w:r>
    </w:p>
    <w:p w:rsidR="00000000" w:rsidDel="00000000" w:rsidP="00000000" w:rsidRDefault="00000000" w:rsidRPr="00000000" w14:paraId="00000059">
      <w:pPr>
        <w:numPr>
          <w:ilvl w:val="0"/>
          <w:numId w:val="3"/>
        </w:numPr>
        <w:spacing w:after="200" w:line="240" w:lineRule="auto"/>
        <w:ind w:left="720" w:hanging="360"/>
        <w:rPr/>
      </w:pPr>
      <w:r w:rsidDel="00000000" w:rsidR="00000000" w:rsidRPr="00000000">
        <w:rPr>
          <w:rtl w:val="0"/>
        </w:rPr>
        <w:t xml:space="preserve">[ ] Fragile</w:t>
      </w:r>
    </w:p>
    <w:p w:rsidR="00000000" w:rsidDel="00000000" w:rsidP="00000000" w:rsidRDefault="00000000" w:rsidRPr="00000000" w14:paraId="0000005A">
      <w:pPr>
        <w:spacing w:after="240" w:before="240" w:line="240" w:lineRule="auto"/>
        <w:jc w:val="both"/>
        <w:rPr/>
      </w:pPr>
      <w:r w:rsidDel="00000000" w:rsidR="00000000" w:rsidRPr="00000000">
        <w:rPr>
          <w:rtl w:val="0"/>
        </w:rPr>
        <w:t xml:space="preserve">Sustainability in Baidoa is mixed but relatively strong on tenure itself. Land documentation and title deeds are widely perceived as durable and likely to last, supported by formal government systems. Community-level dispute resolution mechanisms are also functional and embedded.</w:t>
      </w:r>
    </w:p>
    <w:p w:rsidR="00000000" w:rsidDel="00000000" w:rsidP="00000000" w:rsidRDefault="00000000" w:rsidRPr="00000000" w14:paraId="0000005B">
      <w:pPr>
        <w:spacing w:after="240" w:before="240" w:line="240" w:lineRule="auto"/>
        <w:jc w:val="both"/>
        <w:rPr/>
      </w:pPr>
      <w:r w:rsidDel="00000000" w:rsidR="00000000" w:rsidRPr="00000000">
        <w:rPr>
          <w:rtl w:val="0"/>
        </w:rPr>
        <w:t xml:space="preserve">However, sustainability is undermined by financial and service constraints. Government capacity to scale or sustain the model independently is limited due to lack of resources, and housing and infrastructure deficits remain significant. Outcomes are therefore secure in legal terms but fragile in socio-economic terms.</w:t>
      </w:r>
    </w:p>
    <w:p w:rsidR="00000000" w:rsidDel="00000000" w:rsidP="00000000" w:rsidRDefault="00000000" w:rsidRPr="00000000" w14:paraId="0000005C">
      <w:pPr>
        <w:pStyle w:val="Title"/>
        <w:numPr>
          <w:ilvl w:val="0"/>
          <w:numId w:val="6"/>
        </w:numPr>
        <w:spacing w:after="80" w:before="200" w:lineRule="auto"/>
        <w:ind w:left="720" w:hanging="360"/>
        <w:rPr/>
      </w:pPr>
      <w:bookmarkStart w:colFirst="0" w:colLast="0" w:name="_heading=h.9rm2ct42xsn5" w:id="8"/>
      <w:bookmarkEnd w:id="8"/>
      <w:r w:rsidDel="00000000" w:rsidR="00000000" w:rsidRPr="00000000">
        <w:rPr>
          <w:rtl w:val="0"/>
        </w:rPr>
        <w:t xml:space="preserve"> POLITICAL ECONOMY &amp; RISK</w:t>
      </w:r>
    </w:p>
    <w:p w:rsidR="00000000" w:rsidDel="00000000" w:rsidP="00000000" w:rsidRDefault="00000000" w:rsidRPr="00000000" w14:paraId="0000005D">
      <w:pPr>
        <w:spacing w:after="240" w:before="240" w:line="240" w:lineRule="auto"/>
        <w:rPr/>
      </w:pPr>
      <w:r w:rsidDel="00000000" w:rsidR="00000000" w:rsidRPr="00000000">
        <w:rPr>
          <w:rtl w:val="0"/>
        </w:rPr>
        <w:t xml:space="preserve">Main risks identified:</w:t>
      </w:r>
    </w:p>
    <w:p w:rsidR="00000000" w:rsidDel="00000000" w:rsidP="00000000" w:rsidRDefault="00000000" w:rsidRPr="00000000" w14:paraId="0000005E">
      <w:pPr>
        <w:numPr>
          <w:ilvl w:val="0"/>
          <w:numId w:val="8"/>
        </w:numPr>
        <w:spacing w:after="0" w:before="240" w:line="240" w:lineRule="auto"/>
        <w:ind w:left="720" w:hanging="360"/>
        <w:rPr/>
      </w:pPr>
      <w:r w:rsidDel="00000000" w:rsidR="00000000" w:rsidRPr="00000000">
        <w:rPr>
          <w:rtl w:val="0"/>
        </w:rPr>
        <w:t xml:space="preserve">[ ] Elite capture</w:t>
      </w:r>
    </w:p>
    <w:p w:rsidR="00000000" w:rsidDel="00000000" w:rsidP="00000000" w:rsidRDefault="00000000" w:rsidRPr="00000000" w14:paraId="0000005F">
      <w:pPr>
        <w:numPr>
          <w:ilvl w:val="0"/>
          <w:numId w:val="8"/>
        </w:numPr>
        <w:spacing w:after="0" w:line="240" w:lineRule="auto"/>
        <w:ind w:left="720" w:hanging="360"/>
        <w:rPr/>
      </w:pPr>
      <w:r w:rsidDel="00000000" w:rsidR="00000000" w:rsidRPr="00000000">
        <w:rPr>
          <w:rtl w:val="0"/>
        </w:rPr>
        <w:t xml:space="preserve">[ ] Land speculation</w:t>
      </w:r>
    </w:p>
    <w:p w:rsidR="00000000" w:rsidDel="00000000" w:rsidP="00000000" w:rsidRDefault="00000000" w:rsidRPr="00000000" w14:paraId="00000060">
      <w:pPr>
        <w:numPr>
          <w:ilvl w:val="0"/>
          <w:numId w:val="8"/>
        </w:numPr>
        <w:spacing w:after="0" w:line="240" w:lineRule="auto"/>
        <w:ind w:left="720" w:hanging="360"/>
        <w:rPr/>
      </w:pPr>
      <w:r w:rsidDel="00000000" w:rsidR="00000000" w:rsidRPr="00000000">
        <w:rPr>
          <w:rtl w:val="0"/>
        </w:rPr>
        <w:t xml:space="preserve">[ ] Leadership change</w:t>
      </w:r>
    </w:p>
    <w:p w:rsidR="00000000" w:rsidDel="00000000" w:rsidP="00000000" w:rsidRDefault="00000000" w:rsidRPr="00000000" w14:paraId="00000061">
      <w:pPr>
        <w:numPr>
          <w:ilvl w:val="0"/>
          <w:numId w:val="8"/>
        </w:numPr>
        <w:spacing w:after="0" w:line="240" w:lineRule="auto"/>
        <w:ind w:left="720" w:hanging="360"/>
        <w:rPr/>
      </w:pPr>
      <w:r w:rsidDel="00000000" w:rsidR="00000000" w:rsidRPr="00000000">
        <w:rPr>
          <w:rtl w:val="0"/>
        </w:rPr>
        <w:t xml:space="preserve">[X] Gender exclusion</w:t>
      </w:r>
    </w:p>
    <w:p w:rsidR="00000000" w:rsidDel="00000000" w:rsidP="00000000" w:rsidRDefault="00000000" w:rsidRPr="00000000" w14:paraId="00000062">
      <w:pPr>
        <w:numPr>
          <w:ilvl w:val="0"/>
          <w:numId w:val="8"/>
        </w:numPr>
        <w:spacing w:after="0" w:line="240" w:lineRule="auto"/>
        <w:ind w:left="720" w:hanging="360"/>
        <w:rPr/>
      </w:pPr>
      <w:r w:rsidDel="00000000" w:rsidR="00000000" w:rsidRPr="00000000">
        <w:rPr>
          <w:rtl w:val="0"/>
        </w:rPr>
        <w:t xml:space="preserve">[X] Cost escalation</w:t>
      </w:r>
    </w:p>
    <w:p w:rsidR="00000000" w:rsidDel="00000000" w:rsidP="00000000" w:rsidRDefault="00000000" w:rsidRPr="00000000" w14:paraId="00000063">
      <w:pPr>
        <w:numPr>
          <w:ilvl w:val="0"/>
          <w:numId w:val="8"/>
        </w:numPr>
        <w:spacing w:after="200" w:line="240" w:lineRule="auto"/>
        <w:ind w:left="720" w:hanging="360"/>
        <w:rPr/>
      </w:pPr>
      <w:r w:rsidDel="00000000" w:rsidR="00000000" w:rsidRPr="00000000">
        <w:rPr>
          <w:rtl w:val="0"/>
        </w:rPr>
        <w:t xml:space="preserve">[X] Other: affordability of land purchase; service gaps; limited scale</w:t>
      </w:r>
    </w:p>
    <w:p w:rsidR="00000000" w:rsidDel="00000000" w:rsidP="00000000" w:rsidRDefault="00000000" w:rsidRPr="00000000" w14:paraId="00000064">
      <w:pPr>
        <w:spacing w:after="240" w:before="240" w:line="240" w:lineRule="auto"/>
        <w:rPr/>
      </w:pPr>
      <w:r w:rsidDel="00000000" w:rsidR="00000000" w:rsidRPr="00000000">
        <w:rPr>
          <w:rtl w:val="0"/>
        </w:rPr>
        <w:t xml:space="preserve">The Baidoa model reduced some forms of exploitation (e.g., arbitrary eviction by landlords), but risks remain linked to affordability, service gaps, and structural poverty. The need for households to purchase land introduces exclusion risks for the poorest, and the model depends on continued functioning of government systems. While there is limited evidence of strong elite resistance, there are indications that informal actors (e.g., brokers) may lose influence, and future risks could emerge if land values increase or governance weakens.</w:t>
      </w:r>
    </w:p>
    <w:p w:rsidR="00000000" w:rsidDel="00000000" w:rsidP="00000000" w:rsidRDefault="00000000" w:rsidRPr="00000000" w14:paraId="00000065">
      <w:pPr>
        <w:pStyle w:val="Title"/>
        <w:numPr>
          <w:ilvl w:val="0"/>
          <w:numId w:val="6"/>
        </w:numPr>
        <w:spacing w:after="80" w:before="200" w:lineRule="auto"/>
        <w:ind w:left="720" w:hanging="360"/>
        <w:rPr/>
      </w:pPr>
      <w:bookmarkStart w:colFirst="0" w:colLast="0" w:name="_heading=h.dcn5xry4fjx7" w:id="9"/>
      <w:bookmarkEnd w:id="9"/>
      <w:r w:rsidDel="00000000" w:rsidR="00000000" w:rsidRPr="00000000">
        <w:rPr>
          <w:rtl w:val="0"/>
        </w:rPr>
        <w:t xml:space="preserve"> CONTRIBUTION ANALYSIS</w:t>
      </w:r>
    </w:p>
    <w:p w:rsidR="00000000" w:rsidDel="00000000" w:rsidP="00000000" w:rsidRDefault="00000000" w:rsidRPr="00000000" w14:paraId="00000066">
      <w:pPr>
        <w:spacing w:after="240" w:before="240" w:line="240" w:lineRule="auto"/>
        <w:rPr>
          <w:b w:val="1"/>
          <w:bCs w:val="1"/>
        </w:rPr>
      </w:pPr>
      <w:r w:rsidDel="00000000" w:rsidR="00000000" w:rsidRPr="00000000">
        <w:rPr>
          <w:b w:val="1"/>
          <w:bCs w:val="1"/>
          <w:rtl w:val="0"/>
        </w:rPr>
        <w:t xml:space="preserve">What would likely have happened without NRC?</w:t>
      </w:r>
    </w:p>
    <w:p w:rsidR="00000000" w:rsidDel="00000000" w:rsidP="00000000" w:rsidRDefault="00000000" w:rsidRPr="00000000" w14:paraId="00000067">
      <w:pPr>
        <w:spacing w:after="240" w:before="240" w:line="240" w:lineRule="auto"/>
        <w:rPr>
          <w:b w:val="1"/>
          <w:bCs w:val="1"/>
        </w:rPr>
      </w:pPr>
      <w:r w:rsidDel="00000000" w:rsidR="00000000" w:rsidRPr="00000000">
        <w:rPr>
          <w:b w:val="1"/>
          <w:bCs w:val="1"/>
          <w:rtl w:val="0"/>
        </w:rPr>
        <w:t xml:space="preserve">NRC's role:</w:t>
      </w:r>
    </w:p>
    <w:p w:rsidR="00000000" w:rsidDel="00000000" w:rsidP="00000000" w:rsidRDefault="00000000" w:rsidRPr="00000000" w14:paraId="00000068">
      <w:pPr>
        <w:numPr>
          <w:ilvl w:val="0"/>
          <w:numId w:val="4"/>
        </w:numPr>
        <w:spacing w:after="0" w:before="240" w:line="240" w:lineRule="auto"/>
        <w:ind w:left="720" w:hanging="360"/>
        <w:rPr/>
      </w:pPr>
      <w:r w:rsidDel="00000000" w:rsidR="00000000" w:rsidRPr="00000000">
        <w:rPr>
          <w:rtl w:val="0"/>
        </w:rPr>
        <w:t xml:space="preserve">[X] Necessary</w:t>
      </w:r>
    </w:p>
    <w:p w:rsidR="00000000" w:rsidDel="00000000" w:rsidP="00000000" w:rsidRDefault="00000000" w:rsidRPr="00000000" w14:paraId="00000069">
      <w:pPr>
        <w:numPr>
          <w:ilvl w:val="0"/>
          <w:numId w:val="4"/>
        </w:numPr>
        <w:spacing w:after="0" w:line="240" w:lineRule="auto"/>
        <w:ind w:left="720" w:hanging="360"/>
        <w:rPr/>
      </w:pPr>
      <w:r w:rsidDel="00000000" w:rsidR="00000000" w:rsidRPr="00000000">
        <w:rPr>
          <w:rtl w:val="0"/>
        </w:rPr>
        <w:t xml:space="preserve">[ ] Catalytic</w:t>
      </w:r>
    </w:p>
    <w:p w:rsidR="00000000" w:rsidDel="00000000" w:rsidP="00000000" w:rsidRDefault="00000000" w:rsidRPr="00000000" w14:paraId="0000006A">
      <w:pPr>
        <w:numPr>
          <w:ilvl w:val="0"/>
          <w:numId w:val="4"/>
        </w:numPr>
        <w:spacing w:after="200" w:line="240" w:lineRule="auto"/>
        <w:ind w:left="720" w:hanging="360"/>
        <w:rPr/>
      </w:pPr>
      <w:r w:rsidDel="00000000" w:rsidR="00000000" w:rsidRPr="00000000">
        <w:rPr>
          <w:rtl w:val="0"/>
        </w:rPr>
        <w:t xml:space="preserve">[ ] Supporting</w:t>
      </w:r>
    </w:p>
    <w:p w:rsidR="00000000" w:rsidDel="00000000" w:rsidP="00000000" w:rsidRDefault="00000000" w:rsidRPr="00000000" w14:paraId="0000006B">
      <w:pPr>
        <w:spacing w:after="240" w:before="240" w:line="240" w:lineRule="auto"/>
        <w:jc w:val="both"/>
        <w:rPr/>
      </w:pPr>
      <w:r w:rsidDel="00000000" w:rsidR="00000000" w:rsidRPr="00000000">
        <w:rPr>
          <w:rtl w:val="0"/>
        </w:rPr>
        <w:t xml:space="preserve">NRC played a central and catalytic role in Baidoa by enabling IDPs to transition from informal, insecure settlement to documented land ownership. While communities contributed significantly through land purchase, NRC’s role in legalisation, coordination with authorities, and system-building was essential. Without NRC, it is unlikely that IDPs would have been able to navigate formal land processes, secure documentation, or reduce eviction risks at scale. </w:t>
      </w:r>
    </w:p>
    <w:p w:rsidR="00000000" w:rsidDel="00000000" w:rsidP="00000000" w:rsidRDefault="00000000" w:rsidRPr="00000000" w14:paraId="0000006C">
      <w:pPr>
        <w:pStyle w:val="Title"/>
        <w:numPr>
          <w:ilvl w:val="0"/>
          <w:numId w:val="6"/>
        </w:numPr>
        <w:spacing w:after="80" w:before="200" w:lineRule="auto"/>
        <w:ind w:left="720" w:hanging="360"/>
        <w:rPr/>
      </w:pPr>
      <w:bookmarkStart w:colFirst="0" w:colLast="0" w:name="_heading=h.vgo2fow5loeg" w:id="10"/>
      <w:bookmarkEnd w:id="10"/>
      <w:r w:rsidDel="00000000" w:rsidR="00000000" w:rsidRPr="00000000">
        <w:rPr>
          <w:rtl w:val="0"/>
        </w:rPr>
        <w:t xml:space="preserve"> TRANSFERABILITY &amp; KEY LESSON</w:t>
      </w:r>
    </w:p>
    <w:p w:rsidR="00000000" w:rsidDel="00000000" w:rsidP="00000000" w:rsidRDefault="00000000" w:rsidRPr="00000000" w14:paraId="0000006D">
      <w:pPr>
        <w:spacing w:after="240" w:before="240" w:line="240" w:lineRule="auto"/>
        <w:rPr/>
      </w:pPr>
      <w:r w:rsidDel="00000000" w:rsidR="00000000" w:rsidRPr="00000000">
        <w:rPr>
          <w:b w:val="1"/>
          <w:bCs w:val="1"/>
          <w:rtl w:val="0"/>
        </w:rPr>
        <w:t xml:space="preserve">Where this model works best:  </w:t>
      </w:r>
      <w:r w:rsidDel="00000000" w:rsidR="00000000" w:rsidRPr="00000000">
        <w:rPr>
          <w:rtl w:val="0"/>
        </w:rPr>
        <w:t xml:space="preserve">The Baidoa model is highly transferable to contexts where land is available for purchase and government systems are functional enough to formalise tenure. Its strength lies in combining community investment (land purchase) with formal legalisation.</w:t>
      </w:r>
    </w:p>
    <w:p w:rsidR="00000000" w:rsidDel="00000000" w:rsidP="00000000" w:rsidRDefault="00000000" w:rsidRPr="00000000" w14:paraId="0000006E">
      <w:pPr>
        <w:spacing w:after="240" w:before="240" w:line="240" w:lineRule="auto"/>
        <w:rPr/>
      </w:pPr>
      <w:r w:rsidDel="00000000" w:rsidR="00000000" w:rsidRPr="00000000">
        <w:rPr>
          <w:b w:val="1"/>
          <w:bCs w:val="1"/>
          <w:rtl w:val="0"/>
        </w:rPr>
        <w:t xml:space="preserve">One key lesson for NRC programming:</w:t>
      </w:r>
      <w:r w:rsidDel="00000000" w:rsidR="00000000" w:rsidRPr="00000000">
        <w:rPr>
          <w:rtl w:val="0"/>
        </w:rPr>
        <w:t xml:space="preserve"> A key lesson is that tenure security alone is not sufficient. While it delivers strong gains in stability and protection, it must be paired with livelihood support, housing improvements, and service provision to achieve durable solutions.</w:t>
      </w:r>
    </w:p>
    <w:p w:rsidR="00000000" w:rsidDel="00000000" w:rsidP="00000000" w:rsidRDefault="00000000" w:rsidRPr="00000000" w14:paraId="0000006F">
      <w:pPr>
        <w:pStyle w:val="Title"/>
        <w:spacing w:after="80" w:before="360" w:lineRule="auto"/>
        <w:ind w:left="0" w:hanging="140.99999999999994"/>
        <w:rPr/>
      </w:pPr>
      <w:bookmarkStart w:colFirst="0" w:colLast="0" w:name="_heading=h.3hy1k86uhzg5" w:id="11"/>
      <w:bookmarkEnd w:id="11"/>
      <w:r w:rsidDel="00000000" w:rsidR="00000000" w:rsidRPr="00000000">
        <w:rPr>
          <w:rtl w:val="0"/>
        </w:rPr>
        <w:t xml:space="preserve">EVIDENCE SOURCES</w:t>
      </w:r>
    </w:p>
    <w:p w:rsidR="00000000" w:rsidDel="00000000" w:rsidP="00000000" w:rsidRDefault="00000000" w:rsidRPr="00000000" w14:paraId="00000070">
      <w:pPr>
        <w:numPr>
          <w:ilvl w:val="0"/>
          <w:numId w:val="1"/>
        </w:numPr>
        <w:spacing w:after="0" w:before="240" w:line="240" w:lineRule="auto"/>
        <w:ind w:left="720" w:hanging="360"/>
        <w:rPr/>
      </w:pPr>
      <w:r w:rsidDel="00000000" w:rsidR="00000000" w:rsidRPr="00000000">
        <w:rPr>
          <w:rtl w:val="0"/>
        </w:rPr>
        <w:t xml:space="preserve">[X] KIIs</w:t>
      </w:r>
    </w:p>
    <w:p w:rsidR="00000000" w:rsidDel="00000000" w:rsidP="00000000" w:rsidRDefault="00000000" w:rsidRPr="00000000" w14:paraId="00000071">
      <w:pPr>
        <w:numPr>
          <w:ilvl w:val="0"/>
          <w:numId w:val="1"/>
        </w:numPr>
        <w:spacing w:after="0" w:line="240" w:lineRule="auto"/>
        <w:ind w:left="720" w:hanging="360"/>
        <w:rPr/>
      </w:pPr>
      <w:r w:rsidDel="00000000" w:rsidR="00000000" w:rsidRPr="00000000">
        <w:rPr>
          <w:rtl w:val="0"/>
        </w:rPr>
        <w:t xml:space="preserve">[X] FGDs</w:t>
      </w:r>
    </w:p>
    <w:p w:rsidR="00000000" w:rsidDel="00000000" w:rsidP="00000000" w:rsidRDefault="00000000" w:rsidRPr="00000000" w14:paraId="00000072">
      <w:pPr>
        <w:numPr>
          <w:ilvl w:val="0"/>
          <w:numId w:val="1"/>
        </w:numPr>
        <w:spacing w:after="0" w:line="240" w:lineRule="auto"/>
        <w:ind w:left="720" w:hanging="360"/>
        <w:rPr/>
      </w:pPr>
      <w:r w:rsidDel="00000000" w:rsidR="00000000" w:rsidRPr="00000000">
        <w:rPr>
          <w:rtl w:val="0"/>
        </w:rPr>
        <w:t xml:space="preserve">[X] Project documents</w:t>
      </w:r>
    </w:p>
    <w:p w:rsidR="00000000" w:rsidDel="00000000" w:rsidP="00000000" w:rsidRDefault="00000000" w:rsidRPr="00000000" w14:paraId="00000073">
      <w:pPr>
        <w:numPr>
          <w:ilvl w:val="0"/>
          <w:numId w:val="1"/>
        </w:numPr>
        <w:spacing w:after="0" w:line="240" w:lineRule="auto"/>
        <w:ind w:left="720" w:hanging="360"/>
        <w:rPr/>
      </w:pPr>
      <w:r w:rsidDel="00000000" w:rsidR="00000000" w:rsidRPr="00000000">
        <w:rPr>
          <w:rtl w:val="0"/>
        </w:rPr>
        <w:t xml:space="preserve">[ ] Observation</w:t>
      </w:r>
    </w:p>
    <w:p w:rsidR="00000000" w:rsidDel="00000000" w:rsidP="00000000" w:rsidRDefault="00000000" w:rsidRPr="00000000" w14:paraId="00000074">
      <w:pPr>
        <w:numPr>
          <w:ilvl w:val="0"/>
          <w:numId w:val="1"/>
        </w:numPr>
        <w:spacing w:after="240" w:line="240" w:lineRule="auto"/>
        <w:ind w:left="720" w:hanging="360"/>
        <w:rPr/>
      </w:pPr>
      <w:r w:rsidDel="00000000" w:rsidR="00000000" w:rsidRPr="00000000">
        <w:rPr>
          <w:rtl w:val="0"/>
        </w:rPr>
        <w:t xml:space="preserve">[ ] Other:</w:t>
      </w:r>
    </w:p>
    <w:p w:rsidR="00000000" w:rsidDel="00000000" w:rsidP="00000000" w:rsidRDefault="00000000" w:rsidRPr="00000000" w14:paraId="00000075">
      <w:pPr>
        <w:spacing w:after="240" w:line="240" w:lineRule="auto"/>
        <w:rPr/>
      </w:pPr>
      <w:r w:rsidDel="00000000" w:rsidR="00000000" w:rsidRPr="00000000">
        <w:rPr>
          <w:rtl w:val="0"/>
        </w:rPr>
      </w:r>
    </w:p>
    <w:p w:rsidR="00000000" w:rsidDel="00000000" w:rsidP="00000000" w:rsidRDefault="00000000" w:rsidRPr="00000000" w14:paraId="00000076">
      <w:pPr>
        <w:rPr>
          <w:rFonts w:ascii="Libre Franklin Medium" w:cs="Libre Franklin Medium" w:eastAsia="Libre Franklin Medium" w:hAnsi="Libre Franklin Medium"/>
          <w:smallCaps w:val="1"/>
        </w:rPr>
        <w:sectPr>
          <w:headerReference r:id="rId9" w:type="default"/>
          <w:footerReference r:id="rId10" w:type="default"/>
          <w:type w:val="nextPage"/>
          <w:pgSz w:h="16838" w:w="11906" w:orient="portrait"/>
          <w:pgMar w:bottom="1985" w:top="1701" w:left="1701" w:right="1701" w:header="709" w:footer="567"/>
        </w:sectPr>
      </w:pPr>
      <w:r w:rsidDel="00000000" w:rsidR="00000000" w:rsidRPr="00000000">
        <w:rPr>
          <w:rtl w:val="0"/>
        </w:rPr>
      </w:r>
    </w:p>
    <w:p w:rsidR="00000000" w:rsidDel="00000000" w:rsidP="00000000" w:rsidRDefault="00000000" w:rsidRPr="00000000" w14:paraId="00000077">
      <w:pPr>
        <w:pStyle w:val="Heading1"/>
        <w:spacing w:after="0" w:lineRule="auto"/>
        <w:ind w:left="0"/>
        <w:rPr/>
      </w:pPr>
      <w:bookmarkStart w:colFirst="0" w:colLast="0" w:name="_heading=h.cuxenypjyxc0" w:id="12"/>
      <w:bookmarkEnd w:id="12"/>
      <w:r w:rsidDel="00000000" w:rsidR="00000000" w:rsidRPr="00000000">
        <w:rPr>
          <w:rtl w:val="0"/>
        </w:rPr>
        <w:t xml:space="preserve">CASE STUDY: GAROWE</w:t>
      </w:r>
    </w:p>
    <w:p w:rsidR="00000000" w:rsidDel="00000000" w:rsidP="00000000" w:rsidRDefault="00000000" w:rsidRPr="00000000" w14:paraId="00000078">
      <w:pPr>
        <w:spacing w:after="240" w:before="240" w:lineRule="auto"/>
        <w:rPr/>
      </w:pPr>
      <w:r w:rsidDel="00000000" w:rsidR="00000000" w:rsidRPr="00000000">
        <w:rPr>
          <w:rtl w:val="0"/>
        </w:rPr>
        <w:t xml:space="preserve">This template is designed to answer one core question:</w:t>
      </w:r>
    </w:p>
    <w:p w:rsidR="00000000" w:rsidDel="00000000" w:rsidP="00000000" w:rsidRDefault="00000000" w:rsidRPr="00000000" w14:paraId="00000079">
      <w:pPr>
        <w:spacing w:after="240" w:before="240" w:lineRule="auto"/>
        <w:rPr>
          <w:b w:val="1"/>
          <w:bCs w:val="1"/>
        </w:rPr>
      </w:pPr>
      <w:r w:rsidDel="00000000" w:rsidR="00000000" w:rsidRPr="00000000">
        <w:rPr>
          <w:b w:val="1"/>
          <w:bCs w:val="1"/>
          <w:rtl w:val="0"/>
        </w:rPr>
        <w:t xml:space="preserve">How and why did a specific HLP model produce (or fail to produce) durable tenure security outcomes in a particular city?</w:t>
      </w:r>
    </w:p>
    <w:p w:rsidR="00000000" w:rsidDel="00000000" w:rsidP="00000000" w:rsidRDefault="00000000" w:rsidRPr="00000000" w14:paraId="0000007A">
      <w:pPr>
        <w:spacing w:after="240" w:before="240" w:lineRule="auto"/>
        <w:rPr/>
      </w:pPr>
      <w:r w:rsidDel="00000000" w:rsidR="00000000" w:rsidRPr="00000000">
        <w:rPr>
          <w:rtl w:val="0"/>
        </w:rPr>
        <w:t xml:space="preserve">The guide below will be used to develop a snapshot analytical narrative of the performance of the model applied in each city. </w:t>
      </w:r>
    </w:p>
    <w:tbl>
      <w:tblPr>
        <w:tblStyle w:val="Table6"/>
        <w:tblW w:w="8720.0" w:type="dxa"/>
        <w:jc w:val="left"/>
        <w:tblInd w:w="-108.0" w:type="dxa"/>
        <w:tblBorders>
          <w:top w:color="ffc899" w:space="0" w:sz="4" w:val="single"/>
          <w:left w:color="ffc899" w:space="0" w:sz="4" w:val="single"/>
          <w:bottom w:color="ffc899" w:space="0" w:sz="4" w:val="single"/>
          <w:right w:color="ffc899" w:space="0" w:sz="4" w:val="single"/>
          <w:insideH w:color="ffc899" w:space="0" w:sz="4" w:val="single"/>
          <w:insideV w:color="ffc899" w:space="0" w:sz="4" w:val="single"/>
        </w:tblBorders>
        <w:tblLayout w:type="fixed"/>
        <w:tblLook w:val="04A0"/>
      </w:tblPr>
      <w:tblGrid>
        <w:gridCol w:w="4360"/>
        <w:gridCol w:w="4360"/>
        <w:tblGridChange w:id="0">
          <w:tblGrid>
            <w:gridCol w:w="4360"/>
            <w:gridCol w:w="4360"/>
          </w:tblGrid>
        </w:tblGridChange>
      </w:tblGrid>
      <w:tr>
        <w:trPr>
          <w:cantSplit w:val="0"/>
          <w:tblHeader w:val="0"/>
        </w:trPr>
        <w:tc>
          <w:tcPr/>
          <w:p w:rsidR="00000000" w:rsidDel="00000000" w:rsidP="00000000" w:rsidRDefault="00000000" w:rsidRPr="00000000" w14:paraId="0000007B">
            <w:pPr>
              <w:rPr/>
            </w:pPr>
            <w:r w:rsidDel="00000000" w:rsidR="00000000" w:rsidRPr="00000000">
              <w:rPr>
                <w:rtl w:val="0"/>
              </w:rPr>
              <w:t xml:space="preserve">City</w:t>
            </w:r>
          </w:p>
        </w:tc>
        <w:tc>
          <w:tcPr/>
          <w:p w:rsidR="00000000" w:rsidDel="00000000" w:rsidP="00000000" w:rsidRDefault="00000000" w:rsidRPr="00000000" w14:paraId="0000007C">
            <w:pPr>
              <w:rPr>
                <w:b w:val="0"/>
                <w:bCs w:val="0"/>
              </w:rPr>
            </w:pPr>
            <w:r w:rsidDel="00000000" w:rsidR="00000000" w:rsidRPr="00000000">
              <w:rPr>
                <w:b w:val="0"/>
                <w:bCs w:val="0"/>
                <w:rtl w:val="0"/>
              </w:rPr>
              <w:t xml:space="preserve">Garowe</w:t>
            </w:r>
          </w:p>
        </w:tc>
      </w:tr>
      <w:tr>
        <w:trPr>
          <w:cantSplit w:val="0"/>
          <w:trHeight w:val="1252.1999999999998" w:hRule="atLeast"/>
          <w:tblHeader w:val="0"/>
        </w:trPr>
        <w:tc>
          <w:tcPr/>
          <w:p w:rsidR="00000000" w:rsidDel="00000000" w:rsidP="00000000" w:rsidRDefault="00000000" w:rsidRPr="00000000" w14:paraId="0000007D">
            <w:pPr>
              <w:rPr/>
            </w:pPr>
            <w:r w:rsidDel="00000000" w:rsidR="00000000" w:rsidRPr="00000000">
              <w:rPr>
                <w:rtl w:val="0"/>
              </w:rPr>
              <w:t xml:space="preserve">Settlement</w:t>
            </w:r>
          </w:p>
        </w:tc>
        <w:tc>
          <w:tcPr/>
          <w:p w:rsidR="00000000" w:rsidDel="00000000" w:rsidP="00000000" w:rsidRDefault="00000000" w:rsidRPr="00000000" w14:paraId="0000007E">
            <w:pPr>
              <w:spacing w:after="240" w:before="240" w:lineRule="auto"/>
              <w:rPr/>
            </w:pPr>
            <w:r w:rsidDel="00000000" w:rsidR="00000000" w:rsidRPr="00000000">
              <w:rPr>
                <w:rtl w:val="0"/>
              </w:rPr>
              <w:t xml:space="preserve">Urban/peri-urban IDP settlements (multiple sites supported under NRC HLP programming)</w:t>
            </w:r>
          </w:p>
        </w:tc>
      </w:tr>
      <w:tr>
        <w:trPr>
          <w:cantSplit w:val="0"/>
          <w:tblHeader w:val="0"/>
        </w:trPr>
        <w:tc>
          <w:tcPr/>
          <w:p w:rsidR="00000000" w:rsidDel="00000000" w:rsidP="00000000" w:rsidRDefault="00000000" w:rsidRPr="00000000" w14:paraId="0000007F">
            <w:pPr>
              <w:rPr/>
            </w:pPr>
            <w:r w:rsidDel="00000000" w:rsidR="00000000" w:rsidRPr="00000000">
              <w:rPr>
                <w:rtl w:val="0"/>
              </w:rPr>
              <w:t xml:space="preserve">HLP model</w:t>
            </w:r>
          </w:p>
        </w:tc>
        <w:tc>
          <w:tcPr/>
          <w:p w:rsidR="00000000" w:rsidDel="00000000" w:rsidP="00000000" w:rsidRDefault="00000000" w:rsidRPr="00000000" w14:paraId="00000080">
            <w:pPr>
              <w:spacing w:after="240" w:before="240" w:lineRule="auto"/>
              <w:rPr/>
            </w:pPr>
            <w:r w:rsidDel="00000000" w:rsidR="00000000" w:rsidRPr="00000000">
              <w:rPr>
                <w:rtl w:val="0"/>
              </w:rPr>
              <w:t xml:space="preserve">Land allocation through municipal engagement combined with tenure documentation and dispute mediation</w:t>
            </w:r>
          </w:p>
        </w:tc>
      </w:tr>
      <w:tr>
        <w:trPr>
          <w:cantSplit w:val="0"/>
          <w:tblHeader w:val="0"/>
        </w:trPr>
        <w:tc>
          <w:tcPr/>
          <w:p w:rsidR="00000000" w:rsidDel="00000000" w:rsidP="00000000" w:rsidRDefault="00000000" w:rsidRPr="00000000" w14:paraId="00000081">
            <w:pPr>
              <w:rPr/>
            </w:pPr>
            <w:r w:rsidDel="00000000" w:rsidR="00000000" w:rsidRPr="00000000">
              <w:rPr>
                <w:rtl w:val="0"/>
              </w:rPr>
              <w:t xml:space="preserve">Implementation period</w:t>
            </w:r>
          </w:p>
        </w:tc>
        <w:tc>
          <w:tcPr/>
          <w:p w:rsidR="00000000" w:rsidDel="00000000" w:rsidP="00000000" w:rsidRDefault="00000000" w:rsidRPr="00000000" w14:paraId="00000082">
            <w:pPr>
              <w:spacing w:after="240" w:before="240" w:lineRule="auto"/>
              <w:rPr/>
            </w:pPr>
            <w:r w:rsidDel="00000000" w:rsidR="00000000" w:rsidRPr="00000000">
              <w:rPr>
                <w:rtl w:val="0"/>
              </w:rPr>
              <w:t xml:space="preserve">Approx. 2019–2025</w:t>
            </w:r>
          </w:p>
        </w:tc>
      </w:tr>
      <w:tr>
        <w:trPr>
          <w:cantSplit w:val="0"/>
          <w:tblHeader w:val="0"/>
        </w:trPr>
        <w:tc>
          <w:tcPr/>
          <w:p w:rsidR="00000000" w:rsidDel="00000000" w:rsidP="00000000" w:rsidRDefault="00000000" w:rsidRPr="00000000" w14:paraId="00000083">
            <w:pPr>
              <w:rPr/>
            </w:pPr>
            <w:r w:rsidDel="00000000" w:rsidR="00000000" w:rsidRPr="00000000">
              <w:rPr>
                <w:rtl w:val="0"/>
              </w:rPr>
              <w:t xml:space="preserve">Approx. households supported</w:t>
            </w:r>
          </w:p>
        </w:tc>
        <w:tc>
          <w:tcPr/>
          <w:p w:rsidR="00000000" w:rsidDel="00000000" w:rsidP="00000000" w:rsidRDefault="00000000" w:rsidRPr="00000000" w14:paraId="00000084">
            <w:pPr>
              <w:spacing w:after="240" w:before="240" w:lineRule="auto"/>
              <w:rPr/>
            </w:pPr>
            <w:r w:rsidDel="00000000" w:rsidR="00000000" w:rsidRPr="00000000">
              <w:rPr>
                <w:rtl w:val="0"/>
              </w:rPr>
              <w:t xml:space="preserve">Several hundred households (exact figure varies by site; estimate based on KIIs/FGDs)</w:t>
            </w:r>
          </w:p>
        </w:tc>
      </w:tr>
      <w:tr>
        <w:trPr>
          <w:cantSplit w:val="0"/>
          <w:tblHeader w:val="0"/>
        </w:trPr>
        <w:tc>
          <w:tcPr/>
          <w:p w:rsidR="00000000" w:rsidDel="00000000" w:rsidP="00000000" w:rsidRDefault="00000000" w:rsidRPr="00000000" w14:paraId="00000085">
            <w:pPr>
              <w:rPr/>
            </w:pPr>
            <w:r w:rsidDel="00000000" w:rsidR="00000000" w:rsidRPr="00000000">
              <w:rPr>
                <w:rtl w:val="0"/>
              </w:rPr>
              <w:t xml:space="preserve">Primary land status</w:t>
            </w:r>
          </w:p>
        </w:tc>
        <w:tc>
          <w:tcPr/>
          <w:p w:rsidR="00000000" w:rsidDel="00000000" w:rsidP="00000000" w:rsidRDefault="00000000" w:rsidRPr="00000000" w14:paraId="00000086">
            <w:pPr>
              <w:rPr/>
            </w:pPr>
            <w:r w:rsidDel="00000000" w:rsidR="00000000" w:rsidRPr="00000000">
              <w:rPr>
                <w:rtl w:val="0"/>
              </w:rPr>
              <w:t xml:space="preserve">[ ] Public [ ] Private [ ] Customary [ X ] Mixed</w:t>
            </w:r>
          </w:p>
        </w:tc>
      </w:tr>
      <w:tr>
        <w:trPr>
          <w:cantSplit w:val="0"/>
          <w:tblHeader w:val="0"/>
        </w:trPr>
        <w:tc>
          <w:tcPr/>
          <w:p w:rsidR="00000000" w:rsidDel="00000000" w:rsidP="00000000" w:rsidRDefault="00000000" w:rsidRPr="00000000" w14:paraId="00000087">
            <w:pPr>
              <w:rPr/>
            </w:pPr>
            <w:r w:rsidDel="00000000" w:rsidR="00000000" w:rsidRPr="00000000">
              <w:rPr>
                <w:rtl w:val="0"/>
              </w:rPr>
              <w:t xml:space="preserve">Key stakeholders</w:t>
            </w:r>
          </w:p>
        </w:tc>
        <w:tc>
          <w:tcPr/>
          <w:p w:rsidR="00000000" w:rsidDel="00000000" w:rsidP="00000000" w:rsidRDefault="00000000" w:rsidRPr="00000000" w14:paraId="00000088">
            <w:pPr>
              <w:rPr/>
            </w:pPr>
            <w:r w:rsidDel="00000000" w:rsidR="00000000" w:rsidRPr="00000000">
              <w:rPr>
                <w:rtl w:val="0"/>
              </w:rPr>
              <w:t xml:space="preserve">[X ] NRC [X ] Municipality [X ] Customary authorities [X] Community [ ] Other: </w:t>
            </w:r>
          </w:p>
        </w:tc>
      </w:tr>
    </w:tbl>
    <w:p w:rsidR="00000000" w:rsidDel="00000000" w:rsidP="00000000" w:rsidRDefault="00000000" w:rsidRPr="00000000" w14:paraId="00000089">
      <w:pPr>
        <w:pStyle w:val="Title"/>
        <w:spacing w:before="480" w:lineRule="auto"/>
        <w:ind w:left="0"/>
        <w:rPr/>
      </w:pPr>
      <w:bookmarkStart w:colFirst="0" w:colLast="0" w:name="_heading=h.5x2vapbkagj9" w:id="13"/>
      <w:bookmarkEnd w:id="13"/>
      <w:r w:rsidDel="00000000" w:rsidR="00000000" w:rsidRPr="00000000">
        <w:rPr>
          <w:rtl w:val="0"/>
        </w:rPr>
        <w:t xml:space="preserve">CASE STUDY GUIDE</w:t>
      </w:r>
    </w:p>
    <w:p w:rsidR="00000000" w:rsidDel="00000000" w:rsidP="00000000" w:rsidRDefault="00000000" w:rsidRPr="00000000" w14:paraId="0000008A">
      <w:pPr>
        <w:pStyle w:val="Title"/>
        <w:numPr>
          <w:ilvl w:val="0"/>
          <w:numId w:val="6"/>
        </w:numPr>
        <w:spacing w:after="80" w:before="360" w:lineRule="auto"/>
        <w:ind w:left="720" w:hanging="360"/>
        <w:rPr>
          <w:b w:val="1"/>
          <w:bCs w:val="1"/>
          <w:color w:val="ff7602"/>
          <w:sz w:val="22"/>
          <w:szCs w:val="22"/>
        </w:rPr>
      </w:pPr>
      <w:bookmarkStart w:colFirst="0" w:colLast="0" w:name="_heading=h.m7jmmgnjgj2m" w:id="14"/>
      <w:bookmarkEnd w:id="14"/>
      <w:r w:rsidDel="00000000" w:rsidR="00000000" w:rsidRPr="00000000">
        <w:rPr>
          <w:rtl w:val="0"/>
        </w:rPr>
        <w:t xml:space="preserve"> PROBLEM CONTEXT (PRE-NRC)</w:t>
      </w:r>
    </w:p>
    <w:p w:rsidR="00000000" w:rsidDel="00000000" w:rsidP="00000000" w:rsidRDefault="00000000" w:rsidRPr="00000000" w14:paraId="0000008B">
      <w:pPr>
        <w:spacing w:after="240" w:before="240" w:line="240" w:lineRule="auto"/>
        <w:rPr/>
      </w:pPr>
      <w:r w:rsidDel="00000000" w:rsidR="00000000" w:rsidRPr="00000000">
        <w:rPr>
          <w:rtl w:val="0"/>
        </w:rPr>
        <w:t xml:space="preserve">Key land/housing problems:</w:t>
      </w:r>
    </w:p>
    <w:p w:rsidR="00000000" w:rsidDel="00000000" w:rsidP="00000000" w:rsidRDefault="00000000" w:rsidRPr="00000000" w14:paraId="0000008C">
      <w:pPr>
        <w:numPr>
          <w:ilvl w:val="0"/>
          <w:numId w:val="5"/>
        </w:numPr>
        <w:spacing w:after="0" w:before="240" w:line="240" w:lineRule="auto"/>
        <w:ind w:left="720" w:hanging="360"/>
      </w:pPr>
      <w:r w:rsidDel="00000000" w:rsidR="00000000" w:rsidRPr="00000000">
        <w:rPr>
          <w:rtl w:val="0"/>
        </w:rPr>
        <w:t xml:space="preserve">[X] High eviction risk</w:t>
      </w:r>
    </w:p>
    <w:p w:rsidR="00000000" w:rsidDel="00000000" w:rsidP="00000000" w:rsidRDefault="00000000" w:rsidRPr="00000000" w14:paraId="0000008D">
      <w:pPr>
        <w:numPr>
          <w:ilvl w:val="0"/>
          <w:numId w:val="5"/>
        </w:numPr>
        <w:spacing w:after="0" w:line="240" w:lineRule="auto"/>
        <w:ind w:left="720" w:hanging="360"/>
      </w:pPr>
      <w:r w:rsidDel="00000000" w:rsidR="00000000" w:rsidRPr="00000000">
        <w:rPr>
          <w:rtl w:val="0"/>
        </w:rPr>
        <w:t xml:space="preserve">[X] No documentation</w:t>
      </w:r>
    </w:p>
    <w:p w:rsidR="00000000" w:rsidDel="00000000" w:rsidP="00000000" w:rsidRDefault="00000000" w:rsidRPr="00000000" w14:paraId="0000008E">
      <w:pPr>
        <w:numPr>
          <w:ilvl w:val="0"/>
          <w:numId w:val="5"/>
        </w:numPr>
        <w:spacing w:after="0" w:line="240" w:lineRule="auto"/>
        <w:ind w:left="720" w:hanging="360"/>
      </w:pPr>
      <w:r w:rsidDel="00000000" w:rsidR="00000000" w:rsidRPr="00000000">
        <w:rPr>
          <w:rtl w:val="0"/>
        </w:rPr>
        <w:t xml:space="preserve">[X] Repeated displacement</w:t>
      </w:r>
    </w:p>
    <w:p w:rsidR="00000000" w:rsidDel="00000000" w:rsidP="00000000" w:rsidRDefault="00000000" w:rsidRPr="00000000" w14:paraId="0000008F">
      <w:pPr>
        <w:numPr>
          <w:ilvl w:val="0"/>
          <w:numId w:val="5"/>
        </w:numPr>
        <w:spacing w:after="0" w:line="240" w:lineRule="auto"/>
        <w:ind w:left="720" w:hanging="360"/>
      </w:pPr>
      <w:r w:rsidDel="00000000" w:rsidR="00000000" w:rsidRPr="00000000">
        <w:rPr>
          <w:rtl w:val="0"/>
        </w:rPr>
        <w:t xml:space="preserve">[X] Land disputes</w:t>
      </w:r>
    </w:p>
    <w:p w:rsidR="00000000" w:rsidDel="00000000" w:rsidP="00000000" w:rsidRDefault="00000000" w:rsidRPr="00000000" w14:paraId="00000090">
      <w:pPr>
        <w:numPr>
          <w:ilvl w:val="0"/>
          <w:numId w:val="5"/>
        </w:numPr>
        <w:spacing w:after="0" w:line="240" w:lineRule="auto"/>
        <w:ind w:left="720" w:hanging="360"/>
      </w:pPr>
      <w:r w:rsidDel="00000000" w:rsidR="00000000" w:rsidRPr="00000000">
        <w:rPr>
          <w:rtl w:val="0"/>
        </w:rPr>
        <w:t xml:space="preserve">[X] Gender-specific barriers</w:t>
      </w:r>
    </w:p>
    <w:p w:rsidR="00000000" w:rsidDel="00000000" w:rsidP="00000000" w:rsidRDefault="00000000" w:rsidRPr="00000000" w14:paraId="00000091">
      <w:pPr>
        <w:numPr>
          <w:ilvl w:val="0"/>
          <w:numId w:val="5"/>
        </w:numPr>
        <w:spacing w:after="200" w:line="240" w:lineRule="auto"/>
        <w:ind w:left="720" w:hanging="360"/>
      </w:pPr>
      <w:r w:rsidDel="00000000" w:rsidR="00000000" w:rsidRPr="00000000">
        <w:rPr>
          <w:rtl w:val="0"/>
        </w:rPr>
        <w:t xml:space="preserve">[X] Other: Informal settlements with unclear authority over land allocation </w:t>
      </w:r>
    </w:p>
    <w:p w:rsidR="00000000" w:rsidDel="00000000" w:rsidP="00000000" w:rsidRDefault="00000000" w:rsidRPr="00000000" w14:paraId="00000092">
      <w:pPr>
        <w:spacing w:after="240" w:before="240" w:line="240" w:lineRule="auto"/>
        <w:jc w:val="both"/>
        <w:rPr/>
      </w:pPr>
      <w:r w:rsidDel="00000000" w:rsidR="00000000" w:rsidRPr="00000000">
        <w:rPr>
          <w:rtl w:val="0"/>
        </w:rPr>
        <w:t xml:space="preserve">Before NRC’s intervention in Garowe, IDP households faced chronic tenure insecurity driven by unclear land governance, overlapping authority between municipal and customary actors, and widespread informal settlement. Many participants reported settling on land without clear permission or documentation, leading to frequent disputes and risk of eviction. While eviction was not always immediate or market-driven, uncertainty around land ownership and allocation created instability. Housing conditions were basic, and settlements lacked adequate services which exposed them to safety risks such as theft, floods and fire. Women and minority groups faced specific challenges such as vulnerability to sexual assault, in addition to the limited control they had over land decisions and dependence on male relatives or community structures.</w:t>
      </w:r>
    </w:p>
    <w:p w:rsidR="00000000" w:rsidDel="00000000" w:rsidP="00000000" w:rsidRDefault="00000000" w:rsidRPr="00000000" w14:paraId="00000093">
      <w:pPr>
        <w:pStyle w:val="Title"/>
        <w:numPr>
          <w:ilvl w:val="0"/>
          <w:numId w:val="6"/>
        </w:numPr>
        <w:spacing w:after="80" w:before="200" w:lineRule="auto"/>
        <w:ind w:left="720" w:hanging="360"/>
        <w:rPr>
          <w:b w:val="1"/>
          <w:bCs w:val="1"/>
          <w:color w:val="ff7602"/>
          <w:sz w:val="22"/>
          <w:szCs w:val="22"/>
        </w:rPr>
      </w:pPr>
      <w:bookmarkStart w:colFirst="0" w:colLast="0" w:name="_heading=h.ga02akpfcqt8" w:id="15"/>
      <w:bookmarkEnd w:id="15"/>
      <w:r w:rsidDel="00000000" w:rsidR="00000000" w:rsidRPr="00000000">
        <w:rPr>
          <w:rtl w:val="0"/>
        </w:rPr>
        <w:t xml:space="preserve"> NRC INTERVENTION &amp; MECHANISM</w:t>
      </w:r>
    </w:p>
    <w:p w:rsidR="00000000" w:rsidDel="00000000" w:rsidP="00000000" w:rsidRDefault="00000000" w:rsidRPr="00000000" w14:paraId="00000094">
      <w:pPr>
        <w:spacing w:after="240" w:before="240" w:line="240" w:lineRule="auto"/>
        <w:rPr/>
      </w:pPr>
      <w:r w:rsidDel="00000000" w:rsidR="00000000" w:rsidRPr="00000000">
        <w:rPr>
          <w:rtl w:val="0"/>
        </w:rPr>
        <w:t xml:space="preserve">What NRC did (core elements):</w:t>
      </w:r>
    </w:p>
    <w:p w:rsidR="00000000" w:rsidDel="00000000" w:rsidP="00000000" w:rsidRDefault="00000000" w:rsidRPr="00000000" w14:paraId="00000095">
      <w:pPr>
        <w:numPr>
          <w:ilvl w:val="0"/>
          <w:numId w:val="2"/>
        </w:numPr>
        <w:spacing w:after="0" w:before="240" w:line="240" w:lineRule="auto"/>
        <w:ind w:left="720" w:hanging="360"/>
      </w:pPr>
      <w:r w:rsidDel="00000000" w:rsidR="00000000" w:rsidRPr="00000000">
        <w:rPr>
          <w:rtl w:val="0"/>
        </w:rPr>
        <w:t xml:space="preserve">[X] Land access / allocation</w:t>
      </w:r>
    </w:p>
    <w:p w:rsidR="00000000" w:rsidDel="00000000" w:rsidP="00000000" w:rsidRDefault="00000000" w:rsidRPr="00000000" w14:paraId="00000096">
      <w:pPr>
        <w:numPr>
          <w:ilvl w:val="0"/>
          <w:numId w:val="2"/>
        </w:numPr>
        <w:spacing w:after="0" w:line="240" w:lineRule="auto"/>
        <w:ind w:left="720" w:hanging="360"/>
      </w:pPr>
      <w:r w:rsidDel="00000000" w:rsidR="00000000" w:rsidRPr="00000000">
        <w:rPr>
          <w:rtl w:val="0"/>
        </w:rPr>
        <w:t xml:space="preserve">[X] Documentation / agreements</w:t>
      </w:r>
    </w:p>
    <w:p w:rsidR="00000000" w:rsidDel="00000000" w:rsidP="00000000" w:rsidRDefault="00000000" w:rsidRPr="00000000" w14:paraId="00000097">
      <w:pPr>
        <w:numPr>
          <w:ilvl w:val="0"/>
          <w:numId w:val="2"/>
        </w:numPr>
        <w:spacing w:after="0" w:line="240" w:lineRule="auto"/>
        <w:ind w:left="720" w:hanging="360"/>
      </w:pPr>
      <w:r w:rsidDel="00000000" w:rsidR="00000000" w:rsidRPr="00000000">
        <w:rPr>
          <w:rtl w:val="0"/>
        </w:rPr>
        <w:t xml:space="preserve">[X] Mediation / negotiation</w:t>
      </w:r>
    </w:p>
    <w:p w:rsidR="00000000" w:rsidDel="00000000" w:rsidP="00000000" w:rsidRDefault="00000000" w:rsidRPr="00000000" w14:paraId="00000098">
      <w:pPr>
        <w:numPr>
          <w:ilvl w:val="0"/>
          <w:numId w:val="2"/>
        </w:numPr>
        <w:spacing w:after="0" w:line="240" w:lineRule="auto"/>
        <w:ind w:left="720" w:hanging="360"/>
      </w:pPr>
      <w:r w:rsidDel="00000000" w:rsidR="00000000" w:rsidRPr="00000000">
        <w:rPr>
          <w:rtl w:val="0"/>
        </w:rPr>
        <w:t xml:space="preserve">[X] Eviction prevention</w:t>
      </w:r>
    </w:p>
    <w:p w:rsidR="00000000" w:rsidDel="00000000" w:rsidP="00000000" w:rsidRDefault="00000000" w:rsidRPr="00000000" w14:paraId="00000099">
      <w:pPr>
        <w:numPr>
          <w:ilvl w:val="0"/>
          <w:numId w:val="2"/>
        </w:numPr>
        <w:spacing w:after="0" w:line="240" w:lineRule="auto"/>
        <w:ind w:left="720" w:hanging="360"/>
      </w:pPr>
      <w:r w:rsidDel="00000000" w:rsidR="00000000" w:rsidRPr="00000000">
        <w:rPr>
          <w:rtl w:val="0"/>
        </w:rPr>
        <w:t xml:space="preserve">[X] Shelter linked to tenure</w:t>
      </w:r>
    </w:p>
    <w:p w:rsidR="00000000" w:rsidDel="00000000" w:rsidP="00000000" w:rsidRDefault="00000000" w:rsidRPr="00000000" w14:paraId="0000009A">
      <w:pPr>
        <w:numPr>
          <w:ilvl w:val="0"/>
          <w:numId w:val="2"/>
        </w:numPr>
        <w:spacing w:after="200" w:line="240" w:lineRule="auto"/>
        <w:ind w:left="720" w:hanging="360"/>
      </w:pPr>
      <w:r w:rsidDel="00000000" w:rsidR="00000000" w:rsidRPr="00000000">
        <w:rPr>
          <w:rtl w:val="0"/>
        </w:rPr>
        <w:t xml:space="preserve">[X] Other: Strengthening coordination between municipality and customary actors</w:t>
      </w:r>
    </w:p>
    <w:p w:rsidR="00000000" w:rsidDel="00000000" w:rsidP="00000000" w:rsidRDefault="00000000" w:rsidRPr="00000000" w14:paraId="0000009B">
      <w:pPr>
        <w:spacing w:after="240" w:before="240" w:line="240" w:lineRule="auto"/>
        <w:jc w:val="both"/>
        <w:rPr/>
      </w:pPr>
      <w:r w:rsidDel="00000000" w:rsidR="00000000" w:rsidRPr="00000000">
        <w:rPr>
          <w:rtl w:val="0"/>
        </w:rPr>
        <w:t xml:space="preserve">NRC’s approach in Garowe focused on facilitating land allocation and strengthening tenure security through coordination with municipal authorities and customary leaders. The intervention included formalising land access through documentation, mediating disputes, and supporting settlement planning. A key feature of the model was bridging formal and informal governance systems by bringing together district authorities, elders, and communities to agree on land use and tenure arrangements. The model was less focused on rental markets and more on enabling access to land and strengthening institutional processes around allocation and dispute resolution.</w:t>
      </w:r>
    </w:p>
    <w:p w:rsidR="00000000" w:rsidDel="00000000" w:rsidP="00000000" w:rsidRDefault="00000000" w:rsidRPr="00000000" w14:paraId="0000009C">
      <w:pPr>
        <w:pStyle w:val="Title"/>
        <w:numPr>
          <w:ilvl w:val="0"/>
          <w:numId w:val="6"/>
        </w:numPr>
        <w:spacing w:after="80" w:before="200" w:lineRule="auto"/>
        <w:ind w:left="720" w:hanging="360"/>
        <w:rPr>
          <w:b w:val="1"/>
          <w:bCs w:val="1"/>
          <w:color w:val="ff7602"/>
          <w:sz w:val="22"/>
          <w:szCs w:val="22"/>
        </w:rPr>
      </w:pPr>
      <w:bookmarkStart w:colFirst="0" w:colLast="0" w:name="_heading=h.2d8yygwc98at" w:id="16"/>
      <w:bookmarkEnd w:id="16"/>
      <w:r w:rsidDel="00000000" w:rsidR="00000000" w:rsidRPr="00000000">
        <w:rPr>
          <w:rtl w:val="0"/>
        </w:rPr>
        <w:t xml:space="preserve">OUTCOMES ACHIEVED</w:t>
      </w:r>
    </w:p>
    <w:tbl>
      <w:tblPr>
        <w:tblStyle w:val="Table7"/>
        <w:tblW w:w="97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85"/>
        <w:gridCol w:w="3855"/>
        <w:gridCol w:w="3525"/>
        <w:tblGridChange w:id="0">
          <w:tblGrid>
            <w:gridCol w:w="2385"/>
            <w:gridCol w:w="3855"/>
            <w:gridCol w:w="3525"/>
          </w:tblGrid>
        </w:tblGridChange>
      </w:tblGrid>
      <w:tr>
        <w:trPr>
          <w:cantSplit w:val="0"/>
          <w:trHeight w:val="515" w:hRule="atLeast"/>
          <w:tblHeader w:val="0"/>
        </w:trPr>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9D">
            <w:pPr>
              <w:spacing w:after="0" w:line="240" w:lineRule="auto"/>
              <w:jc w:val="center"/>
              <w:rPr/>
            </w:pPr>
            <w:r w:rsidDel="00000000" w:rsidR="00000000" w:rsidRPr="00000000">
              <w:rPr>
                <w:b w:val="1"/>
                <w:bCs w:val="1"/>
                <w:rtl w:val="0"/>
              </w:rPr>
              <w:t xml:space="preserve">Outcome area</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9E">
            <w:pPr>
              <w:spacing w:after="0" w:line="240" w:lineRule="auto"/>
              <w:jc w:val="center"/>
              <w:rPr/>
            </w:pPr>
            <w:r w:rsidDel="00000000" w:rsidR="00000000" w:rsidRPr="00000000">
              <w:rPr>
                <w:b w:val="1"/>
                <w:bCs w:val="1"/>
                <w:rtl w:val="0"/>
              </w:rPr>
              <w:t xml:space="preserve">Assessment</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9F">
            <w:pPr>
              <w:spacing w:after="0" w:line="240" w:lineRule="auto"/>
              <w:jc w:val="center"/>
              <w:rPr/>
            </w:pPr>
            <w:r w:rsidDel="00000000" w:rsidR="00000000" w:rsidRPr="00000000">
              <w:rPr>
                <w:b w:val="1"/>
                <w:bCs w:val="1"/>
                <w:rtl w:val="0"/>
              </w:rPr>
              <w:t xml:space="preserve">Evidence</w:t>
            </w:r>
            <w:r w:rsidDel="00000000" w:rsidR="00000000" w:rsidRPr="00000000">
              <w:rPr>
                <w:rtl w:val="0"/>
              </w:rPr>
            </w:r>
          </w:p>
        </w:tc>
      </w:tr>
      <w:tr>
        <w:trPr>
          <w:cantSplit w:val="0"/>
          <w:trHeight w:val="515" w:hRule="atLeast"/>
          <w:tblHeader w:val="0"/>
        </w:trPr>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A0">
            <w:pPr>
              <w:spacing w:after="0" w:line="240" w:lineRule="auto"/>
              <w:rPr/>
            </w:pPr>
            <w:r w:rsidDel="00000000" w:rsidR="00000000" w:rsidRPr="00000000">
              <w:rPr>
                <w:b w:val="1"/>
                <w:bCs w:val="1"/>
                <w:rtl w:val="0"/>
              </w:rPr>
              <w:t xml:space="preserve">Tenure security</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A1">
            <w:pPr>
              <w:spacing w:after="0" w:line="240" w:lineRule="auto"/>
              <w:rPr/>
            </w:pPr>
            <w:r w:rsidDel="00000000" w:rsidR="00000000" w:rsidRPr="00000000">
              <w:rPr>
                <w:rtl w:val="0"/>
              </w:rPr>
              <w:t xml:space="preserve">[X] Strong [ ] Mixed [ ] Weak</w:t>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A2">
            <w:pPr>
              <w:spacing w:after="0" w:line="240" w:lineRule="auto"/>
              <w:rPr/>
            </w:pPr>
            <w:r w:rsidDel="00000000" w:rsidR="00000000" w:rsidRPr="00000000">
              <w:rPr>
                <w:rtl w:val="0"/>
              </w:rPr>
              <w:t xml:space="preserve">Most beneficiaries reported feeling secure from eviction due to documentation and municipal backing; reduced fear compared to pre-intervention conditions.</w:t>
            </w:r>
          </w:p>
        </w:tc>
      </w:tr>
      <w:tr>
        <w:trPr>
          <w:cantSplit w:val="0"/>
          <w:trHeight w:val="515" w:hRule="atLeast"/>
          <w:tblHeader w:val="0"/>
        </w:trPr>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A3">
            <w:pPr>
              <w:spacing w:after="0" w:line="240" w:lineRule="auto"/>
              <w:rPr/>
            </w:pPr>
            <w:r w:rsidDel="00000000" w:rsidR="00000000" w:rsidRPr="00000000">
              <w:rPr>
                <w:b w:val="1"/>
                <w:bCs w:val="1"/>
                <w:rtl w:val="0"/>
              </w:rPr>
              <w:t xml:space="preserve">Eviction risk</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A4">
            <w:pPr>
              <w:spacing w:after="0" w:line="240" w:lineRule="auto"/>
              <w:rPr/>
            </w:pPr>
            <w:r w:rsidDel="00000000" w:rsidR="00000000" w:rsidRPr="00000000">
              <w:rPr>
                <w:rtl w:val="0"/>
              </w:rPr>
              <w:t xml:space="preserve">[X] Reduced [ ] Mixed [ ] Unchanged</w:t>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A5">
            <w:pPr>
              <w:spacing w:after="240" w:before="240" w:line="240" w:lineRule="auto"/>
              <w:rPr/>
            </w:pPr>
            <w:r w:rsidDel="00000000" w:rsidR="00000000" w:rsidRPr="00000000">
              <w:rPr>
                <w:rtl w:val="0"/>
              </w:rPr>
              <w:t xml:space="preserve">FGDs consistently indicated eviction threats significantly declined, though some residual risk remains linked to political or land ownership shifts.</w:t>
            </w:r>
          </w:p>
        </w:tc>
      </w:tr>
      <w:tr>
        <w:trPr>
          <w:cantSplit w:val="0"/>
          <w:trHeight w:val="515" w:hRule="atLeast"/>
          <w:tblHeader w:val="0"/>
        </w:trPr>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A6">
            <w:pPr>
              <w:spacing w:after="0" w:line="240" w:lineRule="auto"/>
              <w:rPr/>
            </w:pPr>
            <w:r w:rsidDel="00000000" w:rsidR="00000000" w:rsidRPr="00000000">
              <w:rPr>
                <w:b w:val="1"/>
                <w:bCs w:val="1"/>
                <w:rtl w:val="0"/>
              </w:rPr>
              <w:t xml:space="preserve">Dispute resolution</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A7">
            <w:pPr>
              <w:spacing w:after="0" w:line="240" w:lineRule="auto"/>
              <w:rPr/>
            </w:pPr>
            <w:r w:rsidDel="00000000" w:rsidR="00000000" w:rsidRPr="00000000">
              <w:rPr>
                <w:rtl w:val="0"/>
              </w:rPr>
              <w:t xml:space="preserve">[X] Improved [ ] Some change [ ] No change</w:t>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A8">
            <w:pPr>
              <w:spacing w:after="240" w:before="240" w:line="240" w:lineRule="auto"/>
              <w:rPr/>
            </w:pPr>
            <w:r w:rsidDel="00000000" w:rsidR="00000000" w:rsidRPr="00000000">
              <w:rPr>
                <w:rtl w:val="0"/>
              </w:rPr>
              <w:t xml:space="preserve">KIIs highlighted improved mediation mechanisms involving local authorities and elders; disputes still occur but are more manageable.</w:t>
            </w:r>
          </w:p>
        </w:tc>
      </w:tr>
      <w:tr>
        <w:trPr>
          <w:cantSplit w:val="0"/>
          <w:trHeight w:val="515" w:hRule="atLeast"/>
          <w:tblHeader w:val="0"/>
        </w:trPr>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A9">
            <w:pPr>
              <w:spacing w:after="0" w:line="240" w:lineRule="auto"/>
              <w:rPr/>
            </w:pPr>
            <w:r w:rsidDel="00000000" w:rsidR="00000000" w:rsidRPr="00000000">
              <w:rPr>
                <w:b w:val="1"/>
                <w:bCs w:val="1"/>
                <w:rtl w:val="0"/>
              </w:rPr>
              <w:t xml:space="preserve">Housing / investment</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AA">
            <w:pPr>
              <w:spacing w:after="0" w:line="240" w:lineRule="auto"/>
              <w:rPr/>
            </w:pPr>
            <w:r w:rsidDel="00000000" w:rsidR="00000000" w:rsidRPr="00000000">
              <w:rPr>
                <w:rtl w:val="0"/>
              </w:rPr>
              <w:t xml:space="preserve">[ ] Significant [X] Some [ ] Minimal</w:t>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AB">
            <w:pPr>
              <w:spacing w:after="240" w:before="240" w:line="240" w:lineRule="auto"/>
              <w:rPr/>
            </w:pPr>
            <w:r w:rsidDel="00000000" w:rsidR="00000000" w:rsidRPr="00000000">
              <w:rPr>
                <w:rtl w:val="0"/>
              </w:rPr>
              <w:t xml:space="preserve">Households reported incremental shelter improvements but limited by poverty and lack of livelihoods support.</w:t>
            </w:r>
          </w:p>
        </w:tc>
      </w:tr>
      <w:tr>
        <w:trPr>
          <w:cantSplit w:val="0"/>
          <w:trHeight w:val="515" w:hRule="atLeast"/>
          <w:tblHeader w:val="0"/>
        </w:trPr>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AC">
            <w:pPr>
              <w:spacing w:after="0" w:line="240" w:lineRule="auto"/>
              <w:rPr/>
            </w:pPr>
            <w:r w:rsidDel="00000000" w:rsidR="00000000" w:rsidRPr="00000000">
              <w:rPr>
                <w:b w:val="1"/>
                <w:bCs w:val="1"/>
                <w:rtl w:val="0"/>
              </w:rPr>
              <w:t xml:space="preserve">Safety &amp; stability</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AD">
            <w:pPr>
              <w:spacing w:after="0" w:line="240" w:lineRule="auto"/>
              <w:rPr/>
            </w:pPr>
            <w:r w:rsidDel="00000000" w:rsidR="00000000" w:rsidRPr="00000000">
              <w:rPr>
                <w:rtl w:val="0"/>
              </w:rPr>
              <w:t xml:space="preserve">[X] Improved [ ] Mixed [ ] No change</w:t>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AE">
            <w:pPr>
              <w:spacing w:after="240" w:before="240" w:line="240" w:lineRule="auto"/>
              <w:rPr/>
            </w:pPr>
            <w:r w:rsidDel="00000000" w:rsidR="00000000" w:rsidRPr="00000000">
              <w:rPr>
                <w:rtl w:val="0"/>
              </w:rPr>
              <w:t xml:space="preserve">Increased sense of stability and reduced displacement cycles; improved social cohesion in some sites.</w:t>
            </w:r>
          </w:p>
        </w:tc>
      </w:tr>
    </w:tbl>
    <w:p w:rsidR="00000000" w:rsidDel="00000000" w:rsidP="00000000" w:rsidRDefault="00000000" w:rsidRPr="00000000" w14:paraId="000000AF">
      <w:pPr>
        <w:spacing w:after="240" w:before="240" w:lineRule="auto"/>
        <w:jc w:val="both"/>
        <w:rPr/>
      </w:pPr>
      <w:r w:rsidDel="00000000" w:rsidR="00000000" w:rsidRPr="00000000">
        <w:rPr>
          <w:rtl w:val="0"/>
        </w:rPr>
        <w:t xml:space="preserve">The intervention led to strong improvements in perceived tenure security, with most beneficiaries reporting reduced fear of eviction due to documentation and recognition by authorities. Eviction risk declined significantly, and households experienced greater stability compared to previous displacement cycles. Dispute resolution mechanisms improved, with clearer processes involving both customary and formal actors. Housing outcomes showed moderate improvement, as some households began upgrading shelters incrementally, although progress was constrained by limited financial resources. Overall, safety and social stability improved, with communities reporting greater cohesion and predictability in their living conditions. However, some residual uncertainty remains, particularly linked to future political or land governance changes.</w:t>
      </w:r>
    </w:p>
    <w:p w:rsidR="00000000" w:rsidDel="00000000" w:rsidP="00000000" w:rsidRDefault="00000000" w:rsidRPr="00000000" w14:paraId="000000B0">
      <w:pPr>
        <w:pStyle w:val="Title"/>
        <w:numPr>
          <w:ilvl w:val="0"/>
          <w:numId w:val="6"/>
        </w:numPr>
        <w:spacing w:after="80" w:before="360" w:lineRule="auto"/>
        <w:ind w:left="720" w:hanging="360"/>
        <w:rPr>
          <w:b w:val="1"/>
          <w:bCs w:val="1"/>
          <w:color w:val="ff7602"/>
          <w:sz w:val="22"/>
          <w:szCs w:val="22"/>
        </w:rPr>
      </w:pPr>
      <w:bookmarkStart w:colFirst="0" w:colLast="0" w:name="_heading=h.fq7tpj5xqwf" w:id="17"/>
      <w:bookmarkEnd w:id="17"/>
      <w:r w:rsidDel="00000000" w:rsidR="00000000" w:rsidRPr="00000000">
        <w:rPr>
          <w:rtl w:val="0"/>
        </w:rPr>
        <w:t xml:space="preserve">GENDER &amp; INCLUSION</w:t>
      </w:r>
    </w:p>
    <w:p w:rsidR="00000000" w:rsidDel="00000000" w:rsidP="00000000" w:rsidRDefault="00000000" w:rsidRPr="00000000" w14:paraId="000000B1">
      <w:pPr>
        <w:spacing w:after="240" w:before="240" w:line="240" w:lineRule="auto"/>
        <w:rPr/>
      </w:pPr>
      <w:r w:rsidDel="00000000" w:rsidR="00000000" w:rsidRPr="00000000">
        <w:rPr>
          <w:rtl w:val="0"/>
        </w:rPr>
        <w:t xml:space="preserve">Women's and vulnerable groups’ tenure protection in practice: </w:t>
      </w:r>
    </w:p>
    <w:p w:rsidR="00000000" w:rsidDel="00000000" w:rsidP="00000000" w:rsidRDefault="00000000" w:rsidRPr="00000000" w14:paraId="000000B2">
      <w:pPr>
        <w:spacing w:after="240" w:before="240" w:line="240" w:lineRule="auto"/>
        <w:rPr/>
      </w:pPr>
      <w:r w:rsidDel="00000000" w:rsidR="00000000" w:rsidRPr="00000000">
        <w:rPr>
          <w:rtl w:val="0"/>
        </w:rPr>
        <w:t xml:space="preserve">Women’s access improved through documentation but remains mediated by male relatives and social norms; some exclusion risks persist.</w:t>
      </w:r>
    </w:p>
    <w:p w:rsidR="00000000" w:rsidDel="00000000" w:rsidP="00000000" w:rsidRDefault="00000000" w:rsidRPr="00000000" w14:paraId="000000B3">
      <w:pPr>
        <w:numPr>
          <w:ilvl w:val="0"/>
          <w:numId w:val="7"/>
        </w:numPr>
        <w:spacing w:after="0" w:before="240" w:line="240" w:lineRule="auto"/>
        <w:ind w:left="720" w:hanging="360"/>
      </w:pPr>
      <w:r w:rsidDel="00000000" w:rsidR="00000000" w:rsidRPr="00000000">
        <w:rPr>
          <w:rtl w:val="0"/>
        </w:rPr>
        <w:t xml:space="preserve">[ ] Strong</w:t>
      </w:r>
    </w:p>
    <w:p w:rsidR="00000000" w:rsidDel="00000000" w:rsidP="00000000" w:rsidRDefault="00000000" w:rsidRPr="00000000" w14:paraId="000000B4">
      <w:pPr>
        <w:numPr>
          <w:ilvl w:val="0"/>
          <w:numId w:val="7"/>
        </w:numPr>
        <w:spacing w:after="0" w:line="240" w:lineRule="auto"/>
        <w:ind w:left="720" w:hanging="360"/>
      </w:pPr>
      <w:r w:rsidDel="00000000" w:rsidR="00000000" w:rsidRPr="00000000">
        <w:rPr>
          <w:rtl w:val="0"/>
        </w:rPr>
        <w:t xml:space="preserve">[X] Conditional</w:t>
      </w:r>
    </w:p>
    <w:p w:rsidR="00000000" w:rsidDel="00000000" w:rsidP="00000000" w:rsidRDefault="00000000" w:rsidRPr="00000000" w14:paraId="000000B5">
      <w:pPr>
        <w:numPr>
          <w:ilvl w:val="0"/>
          <w:numId w:val="7"/>
        </w:numPr>
        <w:spacing w:after="200" w:line="240" w:lineRule="auto"/>
        <w:ind w:left="720" w:hanging="360"/>
      </w:pPr>
      <w:r w:rsidDel="00000000" w:rsidR="00000000" w:rsidRPr="00000000">
        <w:rPr>
          <w:rtl w:val="0"/>
        </w:rPr>
        <w:t xml:space="preserve">[ ] Weak</w:t>
      </w:r>
    </w:p>
    <w:p w:rsidR="00000000" w:rsidDel="00000000" w:rsidP="00000000" w:rsidRDefault="00000000" w:rsidRPr="00000000" w14:paraId="000000B6">
      <w:pPr>
        <w:spacing w:after="240" w:before="240" w:line="240" w:lineRule="auto"/>
        <w:jc w:val="both"/>
        <w:rPr/>
      </w:pPr>
      <w:r w:rsidDel="00000000" w:rsidR="00000000" w:rsidRPr="00000000">
        <w:rPr>
          <w:rtl w:val="0"/>
        </w:rPr>
        <w:t xml:space="preserve">The intervention contributed to improved recognition of women’s rights to land and housing, particularly through inclusion in documentation processes. However, women’s tenure security remains conditional in practice. Cultural norms and intra-household dynamics continue to influence control over land, with many women accessing tenure through male relatives rather than independently. While women were able to participate in discussions and decision-making to some extent, structural gender inequalities persist, limiting full inclusion and autonomy.</w:t>
      </w:r>
    </w:p>
    <w:p w:rsidR="00000000" w:rsidDel="00000000" w:rsidP="00000000" w:rsidRDefault="00000000" w:rsidRPr="00000000" w14:paraId="000000B7">
      <w:pPr>
        <w:spacing w:after="200" w:line="240" w:lineRule="auto"/>
        <w:rPr/>
      </w:pPr>
      <w:r w:rsidDel="00000000" w:rsidR="00000000" w:rsidRPr="00000000">
        <w:rPr>
          <w:rtl w:val="0"/>
        </w:rPr>
      </w:r>
    </w:p>
    <w:p w:rsidR="00000000" w:rsidDel="00000000" w:rsidP="00000000" w:rsidRDefault="00000000" w:rsidRPr="00000000" w14:paraId="000000B8">
      <w:pPr>
        <w:pStyle w:val="Title"/>
        <w:numPr>
          <w:ilvl w:val="0"/>
          <w:numId w:val="6"/>
        </w:numPr>
        <w:spacing w:after="80" w:before="200" w:lineRule="auto"/>
        <w:ind w:left="720" w:hanging="360"/>
        <w:rPr>
          <w:b w:val="1"/>
          <w:bCs w:val="1"/>
          <w:color w:val="ff7602"/>
          <w:sz w:val="22"/>
          <w:szCs w:val="22"/>
        </w:rPr>
      </w:pPr>
      <w:bookmarkStart w:colFirst="0" w:colLast="0" w:name="_heading=h.3k88ky45cx0j" w:id="18"/>
      <w:bookmarkEnd w:id="18"/>
      <w:r w:rsidDel="00000000" w:rsidR="00000000" w:rsidRPr="00000000">
        <w:rPr>
          <w:rtl w:val="0"/>
        </w:rPr>
        <w:t xml:space="preserve"> SUSTAINABILITY &amp; EXIT READINESS</w:t>
      </w:r>
    </w:p>
    <w:tbl>
      <w:tblPr>
        <w:tblStyle w:val="Table8"/>
        <w:tblW w:w="8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995"/>
        <w:gridCol w:w="4265"/>
        <w:tblGridChange w:id="0">
          <w:tblGrid>
            <w:gridCol w:w="3995"/>
            <w:gridCol w:w="4265"/>
          </w:tblGrid>
        </w:tblGridChange>
      </w:tblGrid>
      <w:tr>
        <w:trPr>
          <w:cantSplit w:val="0"/>
          <w:trHeight w:val="515" w:hRule="atLeast"/>
          <w:tblHeader w:val="0"/>
        </w:trPr>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B9">
            <w:pPr>
              <w:spacing w:after="0" w:line="240" w:lineRule="auto"/>
              <w:jc w:val="center"/>
              <w:rPr/>
            </w:pPr>
            <w:r w:rsidDel="00000000" w:rsidR="00000000" w:rsidRPr="00000000">
              <w:rPr>
                <w:b w:val="1"/>
                <w:bCs w:val="1"/>
                <w:rtl w:val="0"/>
              </w:rPr>
              <w:t xml:space="preserve">Dimension</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BA">
            <w:pPr>
              <w:spacing w:after="0" w:line="240" w:lineRule="auto"/>
              <w:jc w:val="center"/>
              <w:rPr/>
            </w:pPr>
            <w:r w:rsidDel="00000000" w:rsidR="00000000" w:rsidRPr="00000000">
              <w:rPr>
                <w:b w:val="1"/>
                <w:bCs w:val="1"/>
                <w:rtl w:val="0"/>
              </w:rPr>
              <w:t xml:space="preserve">Assessment</w:t>
            </w:r>
            <w:r w:rsidDel="00000000" w:rsidR="00000000" w:rsidRPr="00000000">
              <w:rPr>
                <w:rtl w:val="0"/>
              </w:rPr>
            </w:r>
          </w:p>
        </w:tc>
      </w:tr>
      <w:tr>
        <w:trPr>
          <w:cantSplit w:val="0"/>
          <w:trHeight w:val="515" w:hRule="atLeast"/>
          <w:tblHeader w:val="0"/>
        </w:trPr>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BB">
            <w:pPr>
              <w:spacing w:after="0" w:line="240" w:lineRule="auto"/>
              <w:rPr/>
            </w:pPr>
            <w:r w:rsidDel="00000000" w:rsidR="00000000" w:rsidRPr="00000000">
              <w:rPr>
                <w:b w:val="1"/>
                <w:bCs w:val="1"/>
                <w:rtl w:val="0"/>
              </w:rPr>
              <w:t xml:space="preserve">Institutional ownership</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BC">
            <w:pPr>
              <w:spacing w:after="0" w:line="240" w:lineRule="auto"/>
              <w:rPr/>
            </w:pPr>
            <w:r w:rsidDel="00000000" w:rsidR="00000000" w:rsidRPr="00000000">
              <w:rPr>
                <w:rtl w:val="0"/>
              </w:rPr>
              <w:t xml:space="preserve">[ ] Strong [X] Partial [ ] Weak</w:t>
            </w:r>
          </w:p>
        </w:tc>
      </w:tr>
      <w:tr>
        <w:trPr>
          <w:cantSplit w:val="0"/>
          <w:trHeight w:val="515" w:hRule="atLeast"/>
          <w:tblHeader w:val="0"/>
        </w:trPr>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BD">
            <w:pPr>
              <w:spacing w:after="0" w:line="240" w:lineRule="auto"/>
              <w:rPr/>
            </w:pPr>
            <w:r w:rsidDel="00000000" w:rsidR="00000000" w:rsidRPr="00000000">
              <w:rPr>
                <w:b w:val="1"/>
                <w:bCs w:val="1"/>
                <w:rtl w:val="0"/>
              </w:rPr>
              <w:t xml:space="preserve">Dispute resolution after NRC</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BE">
            <w:pPr>
              <w:spacing w:after="0" w:line="240" w:lineRule="auto"/>
              <w:rPr/>
            </w:pPr>
            <w:r w:rsidDel="00000000" w:rsidR="00000000" w:rsidRPr="00000000">
              <w:rPr>
                <w:rtl w:val="0"/>
              </w:rPr>
              <w:t xml:space="preserve">[X] Functional [ ] Uncertain [ ] Absent</w:t>
            </w:r>
          </w:p>
        </w:tc>
      </w:tr>
      <w:tr>
        <w:trPr>
          <w:cantSplit w:val="0"/>
          <w:trHeight w:val="515" w:hRule="atLeast"/>
          <w:tblHeader w:val="0"/>
        </w:trPr>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BF">
            <w:pPr>
              <w:spacing w:after="0" w:line="240" w:lineRule="auto"/>
              <w:rPr/>
            </w:pPr>
            <w:r w:rsidDel="00000000" w:rsidR="00000000" w:rsidRPr="00000000">
              <w:rPr>
                <w:b w:val="1"/>
                <w:bCs w:val="1"/>
                <w:rtl w:val="0"/>
              </w:rPr>
              <w:t xml:space="preserve">Affordability of fees/taxes</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C0">
            <w:pPr>
              <w:spacing w:after="0" w:line="240" w:lineRule="auto"/>
              <w:rPr/>
            </w:pPr>
            <w:r w:rsidDel="00000000" w:rsidR="00000000" w:rsidRPr="00000000">
              <w:rPr>
                <w:rtl w:val="0"/>
              </w:rPr>
              <w:t xml:space="preserve">[ ] Manageable [X] Mixed [ ] Unaffordable</w:t>
            </w:r>
          </w:p>
        </w:tc>
      </w:tr>
      <w:tr>
        <w:trPr>
          <w:cantSplit w:val="0"/>
          <w:trHeight w:val="515" w:hRule="atLeast"/>
          <w:tblHeader w:val="0"/>
        </w:trPr>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C1">
            <w:pPr>
              <w:spacing w:after="0" w:line="240" w:lineRule="auto"/>
              <w:rPr/>
            </w:pPr>
            <w:r w:rsidDel="00000000" w:rsidR="00000000" w:rsidRPr="00000000">
              <w:rPr>
                <w:b w:val="1"/>
                <w:bCs w:val="1"/>
                <w:rtl w:val="0"/>
              </w:rPr>
              <w:t xml:space="preserve">Resilience to political/market change</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0C2">
            <w:pPr>
              <w:spacing w:after="0" w:line="240" w:lineRule="auto"/>
              <w:rPr/>
            </w:pPr>
            <w:r w:rsidDel="00000000" w:rsidR="00000000" w:rsidRPr="00000000">
              <w:rPr>
                <w:rtl w:val="0"/>
              </w:rPr>
              <w:t xml:space="preserve">[ ] High [X] Medium [ ] Low</w:t>
            </w:r>
          </w:p>
        </w:tc>
      </w:tr>
    </w:tbl>
    <w:p w:rsidR="00000000" w:rsidDel="00000000" w:rsidP="00000000" w:rsidRDefault="00000000" w:rsidRPr="00000000" w14:paraId="000000C3">
      <w:pPr>
        <w:spacing w:after="240" w:before="240" w:line="240" w:lineRule="auto"/>
        <w:rPr>
          <w:b w:val="1"/>
          <w:bCs w:val="1"/>
        </w:rPr>
      </w:pPr>
      <w:r w:rsidDel="00000000" w:rsidR="00000000" w:rsidRPr="00000000">
        <w:rPr>
          <w:b w:val="1"/>
          <w:bCs w:val="1"/>
          <w:rtl w:val="0"/>
        </w:rPr>
        <w:t xml:space="preserve">Overall durability judgement:</w:t>
      </w:r>
    </w:p>
    <w:p w:rsidR="00000000" w:rsidDel="00000000" w:rsidP="00000000" w:rsidRDefault="00000000" w:rsidRPr="00000000" w14:paraId="000000C4">
      <w:pPr>
        <w:numPr>
          <w:ilvl w:val="0"/>
          <w:numId w:val="3"/>
        </w:numPr>
        <w:spacing w:after="0" w:before="240" w:line="240" w:lineRule="auto"/>
        <w:ind w:left="720" w:hanging="360"/>
      </w:pPr>
      <w:r w:rsidDel="00000000" w:rsidR="00000000" w:rsidRPr="00000000">
        <w:rPr>
          <w:rtl w:val="0"/>
        </w:rPr>
        <w:t xml:space="preserve">[ ] Durable</w:t>
      </w:r>
    </w:p>
    <w:p w:rsidR="00000000" w:rsidDel="00000000" w:rsidP="00000000" w:rsidRDefault="00000000" w:rsidRPr="00000000" w14:paraId="000000C5">
      <w:pPr>
        <w:numPr>
          <w:ilvl w:val="0"/>
          <w:numId w:val="3"/>
        </w:numPr>
        <w:spacing w:after="0" w:line="240" w:lineRule="auto"/>
        <w:ind w:left="720" w:hanging="360"/>
      </w:pPr>
      <w:r w:rsidDel="00000000" w:rsidR="00000000" w:rsidRPr="00000000">
        <w:rPr>
          <w:rtl w:val="0"/>
        </w:rPr>
        <w:t xml:space="preserve">[X] Conditional</w:t>
      </w:r>
    </w:p>
    <w:p w:rsidR="00000000" w:rsidDel="00000000" w:rsidP="00000000" w:rsidRDefault="00000000" w:rsidRPr="00000000" w14:paraId="000000C6">
      <w:pPr>
        <w:numPr>
          <w:ilvl w:val="0"/>
          <w:numId w:val="3"/>
        </w:numPr>
        <w:spacing w:after="200" w:line="240" w:lineRule="auto"/>
        <w:ind w:left="720" w:hanging="360"/>
      </w:pPr>
      <w:r w:rsidDel="00000000" w:rsidR="00000000" w:rsidRPr="00000000">
        <w:rPr>
          <w:rtl w:val="0"/>
        </w:rPr>
        <w:t xml:space="preserve">[ ] Fragile</w:t>
      </w:r>
    </w:p>
    <w:p w:rsidR="00000000" w:rsidDel="00000000" w:rsidP="00000000" w:rsidRDefault="00000000" w:rsidRPr="00000000" w14:paraId="000000C7">
      <w:pPr>
        <w:spacing w:after="240" w:before="240" w:line="240" w:lineRule="auto"/>
        <w:jc w:val="both"/>
        <w:rPr/>
      </w:pPr>
      <w:r w:rsidDel="00000000" w:rsidR="00000000" w:rsidRPr="00000000">
        <w:rPr>
          <w:rtl w:val="0"/>
        </w:rPr>
        <w:t xml:space="preserve">Sustainability in Garowe is moderate but not fully assured. Institutional ownership is emerging, with municipal authorities and local leaders increasingly involved in land allocation and dispute resolution processes. Community-based mechanisms for managing disputes appear functional and likely to continue after NRC’s exit. However, affordability remains a challenge, particularly in relation to fees, service access, and broader economic constraints. The system’s resilience to political and market changes is moderate. While tenure arrangements are more stable than before, they remain vulnerable to shifts in leadership, land claims, or urban expansion pressures. Overall, the durability of outcomes is conditional rather than fully secure.</w:t>
      </w:r>
    </w:p>
    <w:p w:rsidR="00000000" w:rsidDel="00000000" w:rsidP="00000000" w:rsidRDefault="00000000" w:rsidRPr="00000000" w14:paraId="000000C8">
      <w:pPr>
        <w:pStyle w:val="Title"/>
        <w:numPr>
          <w:ilvl w:val="0"/>
          <w:numId w:val="6"/>
        </w:numPr>
        <w:spacing w:after="80" w:before="200" w:lineRule="auto"/>
        <w:ind w:left="720" w:hanging="360"/>
        <w:rPr>
          <w:b w:val="1"/>
          <w:bCs w:val="1"/>
          <w:color w:val="ff7602"/>
          <w:sz w:val="22"/>
          <w:szCs w:val="22"/>
        </w:rPr>
      </w:pPr>
      <w:bookmarkStart w:colFirst="0" w:colLast="0" w:name="_heading=h.cfyix27rmgh5" w:id="19"/>
      <w:bookmarkEnd w:id="19"/>
      <w:r w:rsidDel="00000000" w:rsidR="00000000" w:rsidRPr="00000000">
        <w:rPr>
          <w:rtl w:val="0"/>
        </w:rPr>
        <w:t xml:space="preserve"> POLITICAL ECONOMY &amp; RISK</w:t>
      </w:r>
    </w:p>
    <w:p w:rsidR="00000000" w:rsidDel="00000000" w:rsidP="00000000" w:rsidRDefault="00000000" w:rsidRPr="00000000" w14:paraId="000000C9">
      <w:pPr>
        <w:spacing w:after="240" w:before="240" w:line="240" w:lineRule="auto"/>
        <w:rPr/>
      </w:pPr>
      <w:r w:rsidDel="00000000" w:rsidR="00000000" w:rsidRPr="00000000">
        <w:rPr>
          <w:rtl w:val="0"/>
        </w:rPr>
        <w:t xml:space="preserve">Main risks identified:</w:t>
      </w:r>
    </w:p>
    <w:p w:rsidR="00000000" w:rsidDel="00000000" w:rsidP="00000000" w:rsidRDefault="00000000" w:rsidRPr="00000000" w14:paraId="000000CA">
      <w:pPr>
        <w:numPr>
          <w:ilvl w:val="0"/>
          <w:numId w:val="8"/>
        </w:numPr>
        <w:spacing w:after="0" w:before="240" w:line="240" w:lineRule="auto"/>
        <w:ind w:left="720" w:hanging="360"/>
      </w:pPr>
      <w:r w:rsidDel="00000000" w:rsidR="00000000" w:rsidRPr="00000000">
        <w:rPr>
          <w:rtl w:val="0"/>
        </w:rPr>
        <w:t xml:space="preserve">[X] Elite capture</w:t>
      </w:r>
    </w:p>
    <w:p w:rsidR="00000000" w:rsidDel="00000000" w:rsidP="00000000" w:rsidRDefault="00000000" w:rsidRPr="00000000" w14:paraId="000000CB">
      <w:pPr>
        <w:numPr>
          <w:ilvl w:val="0"/>
          <w:numId w:val="8"/>
        </w:numPr>
        <w:spacing w:after="0" w:line="240" w:lineRule="auto"/>
        <w:ind w:left="720" w:hanging="360"/>
      </w:pPr>
      <w:r w:rsidDel="00000000" w:rsidR="00000000" w:rsidRPr="00000000">
        <w:rPr>
          <w:rtl w:val="0"/>
        </w:rPr>
        <w:t xml:space="preserve">[X] Land speculation</w:t>
      </w:r>
    </w:p>
    <w:p w:rsidR="00000000" w:rsidDel="00000000" w:rsidP="00000000" w:rsidRDefault="00000000" w:rsidRPr="00000000" w14:paraId="000000CC">
      <w:pPr>
        <w:numPr>
          <w:ilvl w:val="0"/>
          <w:numId w:val="8"/>
        </w:numPr>
        <w:spacing w:after="0" w:line="240" w:lineRule="auto"/>
        <w:ind w:left="720" w:hanging="360"/>
      </w:pPr>
      <w:r w:rsidDel="00000000" w:rsidR="00000000" w:rsidRPr="00000000">
        <w:rPr>
          <w:rtl w:val="0"/>
        </w:rPr>
        <w:t xml:space="preserve">[X] Leadership change</w:t>
      </w:r>
    </w:p>
    <w:p w:rsidR="00000000" w:rsidDel="00000000" w:rsidP="00000000" w:rsidRDefault="00000000" w:rsidRPr="00000000" w14:paraId="000000CD">
      <w:pPr>
        <w:numPr>
          <w:ilvl w:val="0"/>
          <w:numId w:val="8"/>
        </w:numPr>
        <w:spacing w:after="0" w:line="240" w:lineRule="auto"/>
        <w:ind w:left="720" w:hanging="360"/>
      </w:pPr>
      <w:r w:rsidDel="00000000" w:rsidR="00000000" w:rsidRPr="00000000">
        <w:rPr>
          <w:rtl w:val="0"/>
        </w:rPr>
        <w:t xml:space="preserve">[X] Gender exclusion</w:t>
      </w:r>
    </w:p>
    <w:p w:rsidR="00000000" w:rsidDel="00000000" w:rsidP="00000000" w:rsidRDefault="00000000" w:rsidRPr="00000000" w14:paraId="000000CE">
      <w:pPr>
        <w:numPr>
          <w:ilvl w:val="0"/>
          <w:numId w:val="8"/>
        </w:numPr>
        <w:spacing w:after="0" w:line="240" w:lineRule="auto"/>
        <w:ind w:left="720" w:hanging="360"/>
      </w:pPr>
      <w:r w:rsidDel="00000000" w:rsidR="00000000" w:rsidRPr="00000000">
        <w:rPr>
          <w:rtl w:val="0"/>
        </w:rPr>
        <w:t xml:space="preserve">[X] Cost escalation</w:t>
      </w:r>
    </w:p>
    <w:p w:rsidR="00000000" w:rsidDel="00000000" w:rsidP="00000000" w:rsidRDefault="00000000" w:rsidRPr="00000000" w14:paraId="000000CF">
      <w:pPr>
        <w:numPr>
          <w:ilvl w:val="0"/>
          <w:numId w:val="8"/>
        </w:numPr>
        <w:spacing w:after="200" w:line="240" w:lineRule="auto"/>
        <w:ind w:left="720" w:hanging="360"/>
      </w:pPr>
      <w:r w:rsidDel="00000000" w:rsidR="00000000" w:rsidRPr="00000000">
        <w:rPr>
          <w:rtl w:val="0"/>
        </w:rPr>
        <w:t xml:space="preserve">[ ] Other: </w:t>
      </w:r>
    </w:p>
    <w:p w:rsidR="00000000" w:rsidDel="00000000" w:rsidP="00000000" w:rsidRDefault="00000000" w:rsidRPr="00000000" w14:paraId="000000D0">
      <w:pPr>
        <w:spacing w:after="240" w:before="240" w:line="240" w:lineRule="auto"/>
        <w:jc w:val="both"/>
        <w:rPr/>
      </w:pPr>
      <w:r w:rsidDel="00000000" w:rsidR="00000000" w:rsidRPr="00000000">
        <w:rPr>
          <w:rtl w:val="0"/>
        </w:rPr>
        <w:t xml:space="preserve">The Garowe context presents a set of governance-related risks linked to land management. Elite influence over land allocation and the potential for land speculation were identified as key concerns, particularly as land values increase. Changes in political leadership could affect the continuity of current arrangements, especially where systems are not fully institutionalised. Gender exclusion remains a risk due to entrenched social norms, and rising costs associated with land and services may create barriers for vulnerable households. The hybrid nature of land governance, that is combining formal and customary systems, can enable solutions with strong coordination. </w:t>
      </w:r>
    </w:p>
    <w:p w:rsidR="00000000" w:rsidDel="00000000" w:rsidP="00000000" w:rsidRDefault="00000000" w:rsidRPr="00000000" w14:paraId="000000D1">
      <w:pPr>
        <w:pStyle w:val="Title"/>
        <w:numPr>
          <w:ilvl w:val="0"/>
          <w:numId w:val="6"/>
        </w:numPr>
        <w:spacing w:after="80" w:before="200" w:lineRule="auto"/>
        <w:ind w:left="720" w:hanging="360"/>
        <w:rPr>
          <w:b w:val="1"/>
          <w:bCs w:val="1"/>
          <w:color w:val="ff7602"/>
          <w:sz w:val="22"/>
          <w:szCs w:val="22"/>
        </w:rPr>
      </w:pPr>
      <w:bookmarkStart w:colFirst="0" w:colLast="0" w:name="_heading=h.msmwx78aai5f" w:id="20"/>
      <w:bookmarkEnd w:id="20"/>
      <w:r w:rsidDel="00000000" w:rsidR="00000000" w:rsidRPr="00000000">
        <w:rPr>
          <w:rtl w:val="0"/>
        </w:rPr>
        <w:t xml:space="preserve"> CONTRIBUTION ANALYSIS</w:t>
      </w:r>
    </w:p>
    <w:p w:rsidR="00000000" w:rsidDel="00000000" w:rsidP="00000000" w:rsidRDefault="00000000" w:rsidRPr="00000000" w14:paraId="000000D2">
      <w:pPr>
        <w:spacing w:after="240" w:before="240" w:line="240" w:lineRule="auto"/>
        <w:rPr>
          <w:b w:val="1"/>
          <w:bCs w:val="1"/>
        </w:rPr>
      </w:pPr>
      <w:r w:rsidDel="00000000" w:rsidR="00000000" w:rsidRPr="00000000">
        <w:rPr>
          <w:b w:val="1"/>
          <w:bCs w:val="1"/>
          <w:rtl w:val="0"/>
        </w:rPr>
        <w:t xml:space="preserve">What would likely have happened without NRC?</w:t>
      </w:r>
    </w:p>
    <w:p w:rsidR="00000000" w:rsidDel="00000000" w:rsidP="00000000" w:rsidRDefault="00000000" w:rsidRPr="00000000" w14:paraId="000000D3">
      <w:pPr>
        <w:spacing w:after="240" w:before="240" w:line="240" w:lineRule="auto"/>
        <w:rPr>
          <w:b w:val="1"/>
          <w:bCs w:val="1"/>
        </w:rPr>
      </w:pPr>
      <w:r w:rsidDel="00000000" w:rsidR="00000000" w:rsidRPr="00000000">
        <w:rPr>
          <w:b w:val="1"/>
          <w:bCs w:val="1"/>
          <w:rtl w:val="0"/>
        </w:rPr>
        <w:t xml:space="preserve">NRC's role:</w:t>
      </w:r>
    </w:p>
    <w:p w:rsidR="00000000" w:rsidDel="00000000" w:rsidP="00000000" w:rsidRDefault="00000000" w:rsidRPr="00000000" w14:paraId="000000D4">
      <w:pPr>
        <w:numPr>
          <w:ilvl w:val="0"/>
          <w:numId w:val="4"/>
        </w:numPr>
        <w:spacing w:after="0" w:before="240" w:line="240" w:lineRule="auto"/>
        <w:ind w:left="720" w:hanging="360"/>
      </w:pPr>
      <w:r w:rsidDel="00000000" w:rsidR="00000000" w:rsidRPr="00000000">
        <w:rPr>
          <w:rtl w:val="0"/>
        </w:rPr>
        <w:t xml:space="preserve">[X] Necessary</w:t>
      </w:r>
    </w:p>
    <w:p w:rsidR="00000000" w:rsidDel="00000000" w:rsidP="00000000" w:rsidRDefault="00000000" w:rsidRPr="00000000" w14:paraId="000000D5">
      <w:pPr>
        <w:numPr>
          <w:ilvl w:val="0"/>
          <w:numId w:val="4"/>
        </w:numPr>
        <w:spacing w:after="0" w:line="240" w:lineRule="auto"/>
        <w:ind w:left="720" w:hanging="360"/>
      </w:pPr>
      <w:r w:rsidDel="00000000" w:rsidR="00000000" w:rsidRPr="00000000">
        <w:rPr>
          <w:rtl w:val="0"/>
        </w:rPr>
        <w:t xml:space="preserve">[ ] Catalytic</w:t>
      </w:r>
    </w:p>
    <w:p w:rsidR="00000000" w:rsidDel="00000000" w:rsidP="00000000" w:rsidRDefault="00000000" w:rsidRPr="00000000" w14:paraId="000000D6">
      <w:pPr>
        <w:numPr>
          <w:ilvl w:val="0"/>
          <w:numId w:val="4"/>
        </w:numPr>
        <w:spacing w:after="200" w:line="240" w:lineRule="auto"/>
        <w:ind w:left="720" w:hanging="360"/>
      </w:pPr>
      <w:r w:rsidDel="00000000" w:rsidR="00000000" w:rsidRPr="00000000">
        <w:rPr>
          <w:rtl w:val="0"/>
        </w:rPr>
        <w:t xml:space="preserve">[ ] Supporting</w:t>
      </w:r>
    </w:p>
    <w:p w:rsidR="00000000" w:rsidDel="00000000" w:rsidP="00000000" w:rsidRDefault="00000000" w:rsidRPr="00000000" w14:paraId="000000D7">
      <w:pPr>
        <w:spacing w:after="240" w:before="240" w:lineRule="auto"/>
        <w:jc w:val="both"/>
        <w:rPr/>
      </w:pPr>
      <w:r w:rsidDel="00000000" w:rsidR="00000000" w:rsidRPr="00000000">
        <w:rPr>
          <w:rtl w:val="0"/>
        </w:rPr>
        <w:t xml:space="preserve">Without NRC’s intervention, it is likely that IDPs in Garowe would have continued living in informal settlements with unclear tenure, facing ongoing disputes and insecurity. The programme played a necessary role in formalising land access, improving coordination between authorities, and providing a framework for dispute resolution. By bridging municipal and customary systems, NRC helped establish more predictable and legitimate tenure arrangements, which would not have emerged organically at the same scale or speed.</w:t>
      </w:r>
    </w:p>
    <w:p w:rsidR="00000000" w:rsidDel="00000000" w:rsidP="00000000" w:rsidRDefault="00000000" w:rsidRPr="00000000" w14:paraId="000000D8">
      <w:pPr>
        <w:pStyle w:val="Title"/>
        <w:numPr>
          <w:ilvl w:val="0"/>
          <w:numId w:val="6"/>
        </w:numPr>
        <w:spacing w:after="80" w:before="200" w:lineRule="auto"/>
        <w:ind w:left="720" w:hanging="360"/>
        <w:rPr>
          <w:b w:val="1"/>
          <w:bCs w:val="1"/>
          <w:color w:val="ff7602"/>
          <w:sz w:val="22"/>
          <w:szCs w:val="22"/>
        </w:rPr>
      </w:pPr>
      <w:bookmarkStart w:colFirst="0" w:colLast="0" w:name="_heading=h.p7ibwhl404l4" w:id="21"/>
      <w:bookmarkEnd w:id="21"/>
      <w:r w:rsidDel="00000000" w:rsidR="00000000" w:rsidRPr="00000000">
        <w:rPr>
          <w:rtl w:val="0"/>
        </w:rPr>
        <w:t xml:space="preserve"> TRANSFERABILITY &amp; KEY LESSON</w:t>
      </w:r>
    </w:p>
    <w:p w:rsidR="00000000" w:rsidDel="00000000" w:rsidP="00000000" w:rsidRDefault="00000000" w:rsidRPr="00000000" w14:paraId="000000D9">
      <w:pPr>
        <w:spacing w:after="240" w:before="240" w:line="240" w:lineRule="auto"/>
        <w:rPr/>
      </w:pPr>
      <w:r w:rsidDel="00000000" w:rsidR="00000000" w:rsidRPr="00000000">
        <w:rPr>
          <w:b w:val="1"/>
          <w:bCs w:val="1"/>
          <w:rtl w:val="0"/>
        </w:rPr>
        <w:t xml:space="preserve">Where this model works best: </w:t>
      </w:r>
      <w:r w:rsidDel="00000000" w:rsidR="00000000" w:rsidRPr="00000000">
        <w:rPr>
          <w:rtl w:val="0"/>
        </w:rPr>
        <w:t xml:space="preserve">The Garowe model is most effective in urban contexts where there is capacity and willingness from municipal authorities to allocate land and where customary and formal systems can be aligned. It works particularly well in settings where land can be made available and governance structures can support negotiated allocation.</w:t>
      </w:r>
    </w:p>
    <w:p w:rsidR="00000000" w:rsidDel="00000000" w:rsidP="00000000" w:rsidRDefault="00000000" w:rsidRPr="00000000" w14:paraId="000000DA">
      <w:pPr>
        <w:spacing w:after="240" w:before="240" w:line="240" w:lineRule="auto"/>
        <w:rPr/>
      </w:pPr>
      <w:r w:rsidDel="00000000" w:rsidR="00000000" w:rsidRPr="00000000">
        <w:rPr>
          <w:b w:val="1"/>
          <w:bCs w:val="1"/>
          <w:rtl w:val="0"/>
        </w:rPr>
        <w:t xml:space="preserve">One key lesson for NRC programming: </w:t>
      </w:r>
      <w:r w:rsidDel="00000000" w:rsidR="00000000" w:rsidRPr="00000000">
        <w:rPr>
          <w:rtl w:val="0"/>
        </w:rPr>
        <w:t xml:space="preserve">Tenure security interventions, while transformative, are not sufficient on their own. To achieve sustained impact, they need to be complemented by livelihood support and stronger gender-sensitive approaches to ensure that benefits are both durable and equitably distributed.</w:t>
      </w:r>
    </w:p>
    <w:p w:rsidR="00000000" w:rsidDel="00000000" w:rsidP="00000000" w:rsidRDefault="00000000" w:rsidRPr="00000000" w14:paraId="000000DB">
      <w:pPr>
        <w:pStyle w:val="Title"/>
        <w:spacing w:after="80" w:before="360" w:lineRule="auto"/>
        <w:ind w:left="0"/>
        <w:rPr/>
      </w:pPr>
      <w:bookmarkStart w:colFirst="0" w:colLast="0" w:name="_heading=h.r8alz4uynsws" w:id="22"/>
      <w:bookmarkEnd w:id="22"/>
      <w:r w:rsidDel="00000000" w:rsidR="00000000" w:rsidRPr="00000000">
        <w:rPr>
          <w:rtl w:val="0"/>
        </w:rPr>
        <w:t xml:space="preserve">EVIDENCE SOURCES</w:t>
      </w:r>
    </w:p>
    <w:p w:rsidR="00000000" w:rsidDel="00000000" w:rsidP="00000000" w:rsidRDefault="00000000" w:rsidRPr="00000000" w14:paraId="000000DC">
      <w:pPr>
        <w:numPr>
          <w:ilvl w:val="0"/>
          <w:numId w:val="1"/>
        </w:numPr>
        <w:spacing w:after="0" w:before="240" w:line="240" w:lineRule="auto"/>
        <w:ind w:left="720" w:hanging="360"/>
      </w:pPr>
      <w:r w:rsidDel="00000000" w:rsidR="00000000" w:rsidRPr="00000000">
        <w:rPr>
          <w:rtl w:val="0"/>
        </w:rPr>
        <w:t xml:space="preserve">[X] KIIs</w:t>
      </w:r>
    </w:p>
    <w:p w:rsidR="00000000" w:rsidDel="00000000" w:rsidP="00000000" w:rsidRDefault="00000000" w:rsidRPr="00000000" w14:paraId="000000DD">
      <w:pPr>
        <w:numPr>
          <w:ilvl w:val="0"/>
          <w:numId w:val="1"/>
        </w:numPr>
        <w:spacing w:after="0" w:line="240" w:lineRule="auto"/>
        <w:ind w:left="720" w:hanging="360"/>
      </w:pPr>
      <w:r w:rsidDel="00000000" w:rsidR="00000000" w:rsidRPr="00000000">
        <w:rPr>
          <w:rtl w:val="0"/>
        </w:rPr>
        <w:t xml:space="preserve">[X] FGDs</w:t>
      </w:r>
    </w:p>
    <w:p w:rsidR="00000000" w:rsidDel="00000000" w:rsidP="00000000" w:rsidRDefault="00000000" w:rsidRPr="00000000" w14:paraId="000000DE">
      <w:pPr>
        <w:numPr>
          <w:ilvl w:val="0"/>
          <w:numId w:val="1"/>
        </w:numPr>
        <w:spacing w:after="0" w:line="240" w:lineRule="auto"/>
        <w:ind w:left="720" w:hanging="360"/>
      </w:pPr>
      <w:r w:rsidDel="00000000" w:rsidR="00000000" w:rsidRPr="00000000">
        <w:rPr>
          <w:rtl w:val="0"/>
        </w:rPr>
        <w:t xml:space="preserve">[X] Project documents</w:t>
      </w:r>
    </w:p>
    <w:p w:rsidR="00000000" w:rsidDel="00000000" w:rsidP="00000000" w:rsidRDefault="00000000" w:rsidRPr="00000000" w14:paraId="000000DF">
      <w:pPr>
        <w:numPr>
          <w:ilvl w:val="0"/>
          <w:numId w:val="1"/>
        </w:numPr>
        <w:spacing w:after="0" w:line="240" w:lineRule="auto"/>
        <w:ind w:left="720" w:hanging="360"/>
      </w:pPr>
      <w:r w:rsidDel="00000000" w:rsidR="00000000" w:rsidRPr="00000000">
        <w:rPr>
          <w:rtl w:val="0"/>
        </w:rPr>
        <w:t xml:space="preserve">[ ] Observation</w:t>
      </w:r>
    </w:p>
    <w:p w:rsidR="00000000" w:rsidDel="00000000" w:rsidP="00000000" w:rsidRDefault="00000000" w:rsidRPr="00000000" w14:paraId="000000E0">
      <w:pPr>
        <w:numPr>
          <w:ilvl w:val="0"/>
          <w:numId w:val="1"/>
        </w:numPr>
        <w:spacing w:after="240" w:line="240" w:lineRule="auto"/>
        <w:ind w:left="720" w:hanging="360"/>
      </w:pPr>
      <w:r w:rsidDel="00000000" w:rsidR="00000000" w:rsidRPr="00000000">
        <w:rPr>
          <w:rtl w:val="0"/>
        </w:rPr>
        <w:t xml:space="preserve">[ ] Other:</w:t>
      </w:r>
    </w:p>
    <w:p w:rsidR="00000000" w:rsidDel="00000000" w:rsidP="00000000" w:rsidRDefault="00000000" w:rsidRPr="00000000" w14:paraId="000000E1">
      <w:pPr>
        <w:rPr>
          <w:rFonts w:ascii="Libre Franklin Medium" w:cs="Libre Franklin Medium" w:eastAsia="Libre Franklin Medium" w:hAnsi="Libre Franklin Medium"/>
          <w:smallCaps w:val="1"/>
        </w:rPr>
        <w:sectPr>
          <w:type w:val="nextPage"/>
          <w:pgSz w:h="16838" w:w="11906" w:orient="portrait"/>
          <w:pgMar w:bottom="1985" w:top="1701" w:left="1701" w:right="1701" w:header="709" w:footer="567"/>
        </w:sectPr>
      </w:pPr>
      <w:r w:rsidDel="00000000" w:rsidR="00000000" w:rsidRPr="00000000">
        <w:rPr>
          <w:rtl w:val="0"/>
        </w:rPr>
      </w:r>
    </w:p>
    <w:p w:rsidR="00000000" w:rsidDel="00000000" w:rsidP="00000000" w:rsidRDefault="00000000" w:rsidRPr="00000000" w14:paraId="000000E2">
      <w:pPr>
        <w:pStyle w:val="Heading1"/>
        <w:spacing w:after="0" w:lineRule="auto"/>
        <w:ind w:left="0"/>
        <w:rPr/>
      </w:pPr>
      <w:bookmarkStart w:colFirst="0" w:colLast="0" w:name="_heading=h.a2ca7mm9exp3" w:id="23"/>
      <w:bookmarkEnd w:id="23"/>
      <w:r w:rsidDel="00000000" w:rsidR="00000000" w:rsidRPr="00000000">
        <w:rPr>
          <w:rtl w:val="0"/>
        </w:rPr>
        <w:t xml:space="preserve">CASE STUDY: KISMAYO</w:t>
      </w:r>
    </w:p>
    <w:p w:rsidR="00000000" w:rsidDel="00000000" w:rsidP="00000000" w:rsidRDefault="00000000" w:rsidRPr="00000000" w14:paraId="000000E3">
      <w:pPr>
        <w:spacing w:after="240" w:before="240" w:lineRule="auto"/>
        <w:rPr/>
      </w:pPr>
      <w:r w:rsidDel="00000000" w:rsidR="00000000" w:rsidRPr="00000000">
        <w:rPr>
          <w:rtl w:val="0"/>
        </w:rPr>
        <w:t xml:space="preserve">This template is designed to answer one core question:</w:t>
      </w:r>
    </w:p>
    <w:p w:rsidR="00000000" w:rsidDel="00000000" w:rsidP="00000000" w:rsidRDefault="00000000" w:rsidRPr="00000000" w14:paraId="000000E4">
      <w:pPr>
        <w:spacing w:after="240" w:before="240" w:lineRule="auto"/>
        <w:rPr>
          <w:b w:val="1"/>
          <w:bCs w:val="1"/>
        </w:rPr>
      </w:pPr>
      <w:r w:rsidDel="00000000" w:rsidR="00000000" w:rsidRPr="00000000">
        <w:rPr>
          <w:b w:val="1"/>
          <w:bCs w:val="1"/>
          <w:rtl w:val="0"/>
        </w:rPr>
        <w:t xml:space="preserve">How and why did a specific HLP model produce (or fail to produce) durable tenure security outcomes in a particular city?</w:t>
      </w:r>
    </w:p>
    <w:p w:rsidR="00000000" w:rsidDel="00000000" w:rsidP="00000000" w:rsidRDefault="00000000" w:rsidRPr="00000000" w14:paraId="000000E5">
      <w:pPr>
        <w:spacing w:after="240" w:before="240" w:lineRule="auto"/>
        <w:rPr/>
      </w:pPr>
      <w:r w:rsidDel="00000000" w:rsidR="00000000" w:rsidRPr="00000000">
        <w:rPr>
          <w:rtl w:val="0"/>
        </w:rPr>
        <w:t xml:space="preserve">The guide below will be used to develop a snapshot analytical narrative of the performance of the model applied in each city. </w:t>
      </w:r>
    </w:p>
    <w:sdt>
      <w:sdtPr>
        <w:lock w:val="contentLocked"/>
        <w:id w:val="238076496"/>
        <w:tag w:val="goog_rdk_0"/>
      </w:sdtPr>
      <w:sdtContent>
        <w:tbl>
          <w:tblPr>
            <w:tblStyle w:val="Table9"/>
            <w:tblW w:w="8720.0" w:type="dxa"/>
            <w:jc w:val="left"/>
            <w:tblInd w:w="-108.0" w:type="dxa"/>
            <w:tblBorders>
              <w:top w:color="ffc899" w:space="0" w:sz="4" w:val="single"/>
              <w:left w:color="ffc899" w:space="0" w:sz="4" w:val="single"/>
              <w:bottom w:color="ffc899" w:space="0" w:sz="4" w:val="single"/>
              <w:right w:color="ffc899" w:space="0" w:sz="4" w:val="single"/>
              <w:insideH w:color="ffc899" w:space="0" w:sz="4" w:val="single"/>
              <w:insideV w:color="ffc899" w:space="0" w:sz="4" w:val="single"/>
            </w:tblBorders>
            <w:tblLayout w:type="fixed"/>
            <w:tblLook w:val="04A0"/>
          </w:tblPr>
          <w:tblGrid>
            <w:gridCol w:w="4360"/>
            <w:gridCol w:w="4360"/>
            <w:tblGridChange w:id="0">
              <w:tblGrid>
                <w:gridCol w:w="4360"/>
                <w:gridCol w:w="4360"/>
              </w:tblGrid>
            </w:tblGridChange>
          </w:tblGrid>
          <w:tr>
            <w:trPr>
              <w:cantSplit w:val="0"/>
              <w:tblHeader w:val="0"/>
            </w:trPr>
            <w:tc>
              <w:tcPr/>
              <w:p w:rsidR="00000000" w:rsidDel="00000000" w:rsidP="00000000" w:rsidRDefault="00000000" w:rsidRPr="00000000" w14:paraId="000000E6">
                <w:pPr>
                  <w:rPr/>
                </w:pPr>
                <w:r w:rsidDel="00000000" w:rsidR="00000000" w:rsidRPr="00000000">
                  <w:rPr>
                    <w:rtl w:val="0"/>
                  </w:rPr>
                  <w:t xml:space="preserve">City</w:t>
                </w:r>
              </w:p>
            </w:tc>
            <w:tc>
              <w:tcPr/>
              <w:p w:rsidR="00000000" w:rsidDel="00000000" w:rsidP="00000000" w:rsidRDefault="00000000" w:rsidRPr="00000000" w14:paraId="000000E7">
                <w:pPr>
                  <w:spacing w:after="240" w:before="240" w:lineRule="auto"/>
                  <w:rPr>
                    <w:b w:val="0"/>
                    <w:bCs w:val="0"/>
                  </w:rPr>
                </w:pPr>
                <w:r w:rsidDel="00000000" w:rsidR="00000000" w:rsidRPr="00000000">
                  <w:rPr>
                    <w:b w:val="0"/>
                    <w:bCs w:val="0"/>
                    <w:rtl w:val="0"/>
                  </w:rPr>
                  <w:t xml:space="preserve">Kismayo</w:t>
                </w:r>
              </w:p>
            </w:tc>
          </w:tr>
          <w:tr>
            <w:trPr>
              <w:cantSplit w:val="0"/>
              <w:tblHeader w:val="0"/>
            </w:trPr>
            <w:tc>
              <w:tcPr/>
              <w:p w:rsidR="00000000" w:rsidDel="00000000" w:rsidP="00000000" w:rsidRDefault="00000000" w:rsidRPr="00000000" w14:paraId="000000E8">
                <w:pPr>
                  <w:rPr/>
                </w:pPr>
                <w:r w:rsidDel="00000000" w:rsidR="00000000" w:rsidRPr="00000000">
                  <w:rPr>
                    <w:rtl w:val="0"/>
                  </w:rPr>
                  <w:t xml:space="preserve">Settlement</w:t>
                </w:r>
              </w:p>
            </w:tc>
            <w:tc>
              <w:tcPr/>
              <w:p w:rsidR="00000000" w:rsidDel="00000000" w:rsidP="00000000" w:rsidRDefault="00000000" w:rsidRPr="00000000" w14:paraId="000000E9">
                <w:pPr>
                  <w:rPr/>
                </w:pPr>
                <w:r w:rsidDel="00000000" w:rsidR="00000000" w:rsidRPr="00000000">
                  <w:rPr>
                    <w:rtl w:val="0"/>
                  </w:rPr>
                  <w:t xml:space="preserve">Luglaw, including Bula Bartire / Halgan cohorts relocated from Dalxiiska and surrounding insecure IDP sites. </w:t>
                </w:r>
              </w:p>
            </w:tc>
          </w:tr>
          <w:tr>
            <w:trPr>
              <w:cantSplit w:val="0"/>
              <w:tblHeader w:val="0"/>
            </w:trPr>
            <w:tc>
              <w:tcPr/>
              <w:p w:rsidR="00000000" w:rsidDel="00000000" w:rsidP="00000000" w:rsidRDefault="00000000" w:rsidRPr="00000000" w14:paraId="000000EA">
                <w:pPr>
                  <w:rPr/>
                </w:pPr>
                <w:r w:rsidDel="00000000" w:rsidR="00000000" w:rsidRPr="00000000">
                  <w:rPr>
                    <w:rtl w:val="0"/>
                  </w:rPr>
                  <w:t xml:space="preserve">HLP model</w:t>
                </w:r>
              </w:p>
            </w:tc>
            <w:tc>
              <w:tcPr/>
              <w:p w:rsidR="00000000" w:rsidDel="00000000" w:rsidP="00000000" w:rsidRDefault="00000000" w:rsidRPr="00000000" w14:paraId="000000EB">
                <w:pPr>
                  <w:rPr/>
                </w:pPr>
                <w:r w:rsidDel="00000000" w:rsidR="00000000" w:rsidRPr="00000000">
                  <w:rPr>
                    <w:rtl w:val="0"/>
                  </w:rPr>
                  <w:t xml:space="preserve">Government-land resettlement with permanent housing and statutory title deed issuance, alongside a parallel private-land strand using written five-year lease agreements for IDPs remaining on private land. </w:t>
                </w:r>
              </w:p>
            </w:tc>
          </w:tr>
          <w:tr>
            <w:trPr>
              <w:cantSplit w:val="0"/>
              <w:tblHeader w:val="0"/>
            </w:trPr>
            <w:tc>
              <w:tcPr/>
              <w:p w:rsidR="00000000" w:rsidDel="00000000" w:rsidP="00000000" w:rsidRDefault="00000000" w:rsidRPr="00000000" w14:paraId="000000EC">
                <w:pPr>
                  <w:rPr/>
                </w:pPr>
                <w:r w:rsidDel="00000000" w:rsidR="00000000" w:rsidRPr="00000000">
                  <w:rPr>
                    <w:rtl w:val="0"/>
                  </w:rPr>
                  <w:t xml:space="preserve">Implementation period</w:t>
                </w:r>
              </w:p>
            </w:tc>
            <w:tc>
              <w:tcPr/>
              <w:p w:rsidR="00000000" w:rsidDel="00000000" w:rsidP="00000000" w:rsidRDefault="00000000" w:rsidRPr="00000000" w14:paraId="000000ED">
                <w:pPr>
                  <w:rPr/>
                </w:pPr>
                <w:r w:rsidDel="00000000" w:rsidR="00000000" w:rsidRPr="00000000">
                  <w:rPr>
                    <w:rtl w:val="0"/>
                  </w:rPr>
                  <w:t xml:space="preserve">At least multi-year and active by February 2026; the broader Kismayo government-land model has been operating since at least 2017–18, while the most recent Halgan cohort arrived in 2024.</w:t>
                </w:r>
              </w:p>
            </w:tc>
          </w:tr>
          <w:tr>
            <w:trPr>
              <w:cantSplit w:val="0"/>
              <w:tblHeader w:val="0"/>
            </w:trPr>
            <w:tc>
              <w:tcPr/>
              <w:p w:rsidR="00000000" w:rsidDel="00000000" w:rsidP="00000000" w:rsidRDefault="00000000" w:rsidRPr="00000000" w14:paraId="000000EE">
                <w:pPr>
                  <w:rPr/>
                </w:pPr>
                <w:r w:rsidDel="00000000" w:rsidR="00000000" w:rsidRPr="00000000">
                  <w:rPr>
                    <w:rtl w:val="0"/>
                  </w:rPr>
                  <w:t xml:space="preserve">Approx. households supported</w:t>
                </w:r>
              </w:p>
            </w:tc>
            <w:tc>
              <w:tcPr/>
              <w:p w:rsidR="00000000" w:rsidDel="00000000" w:rsidP="00000000" w:rsidRDefault="00000000" w:rsidRPr="00000000" w14:paraId="000000EF">
                <w:pPr>
                  <w:rPr/>
                </w:pPr>
                <w:r w:rsidDel="00000000" w:rsidR="00000000" w:rsidRPr="00000000">
                  <w:rPr>
                    <w:rtl w:val="0"/>
                  </w:rPr>
                  <w:t xml:space="preserve">At least 330 permanent housing units/plots in Luglaw: 80 NRC-built houses and 250 UNHCR-built units. A recent Halgan cohort of about 90 households</w:t>
                </w:r>
              </w:p>
            </w:tc>
          </w:tr>
          <w:tr>
            <w:trPr>
              <w:cantSplit w:val="0"/>
              <w:tblHeader w:val="0"/>
            </w:trPr>
            <w:tc>
              <w:tcPr/>
              <w:p w:rsidR="00000000" w:rsidDel="00000000" w:rsidP="00000000" w:rsidRDefault="00000000" w:rsidRPr="00000000" w14:paraId="000000F0">
                <w:pPr>
                  <w:rPr/>
                </w:pPr>
                <w:r w:rsidDel="00000000" w:rsidR="00000000" w:rsidRPr="00000000">
                  <w:rPr>
                    <w:rtl w:val="0"/>
                  </w:rPr>
                  <w:t xml:space="preserve">Primary land status</w:t>
                </w:r>
              </w:p>
            </w:tc>
            <w:tc>
              <w:tcPr/>
              <w:p w:rsidR="00000000" w:rsidDel="00000000" w:rsidP="00000000" w:rsidRDefault="00000000" w:rsidRPr="00000000" w14:paraId="000000F1">
                <w:pPr>
                  <w:rPr/>
                </w:pPr>
                <w:r w:rsidDel="00000000" w:rsidR="00000000" w:rsidRPr="00000000">
                  <w:rPr>
                    <w:rtl w:val="0"/>
                  </w:rPr>
                  <w:t xml:space="preserve">[X] Public [ ] Private [ ] Customary [ ] Mixed</w:t>
                </w:r>
              </w:p>
            </w:tc>
          </w:tr>
          <w:tr>
            <w:trPr>
              <w:cantSplit w:val="0"/>
              <w:tblHeader w:val="0"/>
            </w:trPr>
            <w:tc>
              <w:tcPr/>
              <w:p w:rsidR="00000000" w:rsidDel="00000000" w:rsidP="00000000" w:rsidRDefault="00000000" w:rsidRPr="00000000" w14:paraId="000000F2">
                <w:pPr>
                  <w:rPr/>
                </w:pPr>
                <w:r w:rsidDel="00000000" w:rsidR="00000000" w:rsidRPr="00000000">
                  <w:rPr>
                    <w:rtl w:val="0"/>
                  </w:rPr>
                  <w:t xml:space="preserve">Key stakeholders</w:t>
                </w:r>
              </w:p>
            </w:tc>
            <w:tc>
              <w:tcPr/>
              <w:p w:rsidR="00000000" w:rsidDel="00000000" w:rsidP="00000000" w:rsidRDefault="00000000" w:rsidRPr="00000000" w14:paraId="000000F3">
                <w:pPr>
                  <w:rPr/>
                </w:pPr>
                <w:r w:rsidDel="00000000" w:rsidR="00000000" w:rsidRPr="00000000">
                  <w:rPr>
                    <w:rtl w:val="0"/>
                  </w:rPr>
                  <w:t xml:space="preserve">[X] NRC [X] Municipality [X] Customary authorities [X] Community [X] Other: JUCRI / Land Commission / UNHCR</w:t>
                </w:r>
              </w:p>
            </w:tc>
          </w:tr>
        </w:tbl>
      </w:sdtContent>
    </w:sdt>
    <w:p w:rsidR="00000000" w:rsidDel="00000000" w:rsidP="00000000" w:rsidRDefault="00000000" w:rsidRPr="00000000" w14:paraId="000000F4">
      <w:pPr>
        <w:pStyle w:val="Title"/>
        <w:spacing w:before="480" w:lineRule="auto"/>
        <w:ind w:left="0"/>
        <w:rPr/>
      </w:pPr>
      <w:bookmarkStart w:colFirst="0" w:colLast="0" w:name="_heading=h.mcpkexb4gzou" w:id="24"/>
      <w:bookmarkEnd w:id="24"/>
      <w:r w:rsidDel="00000000" w:rsidR="00000000" w:rsidRPr="00000000">
        <w:rPr>
          <w:rtl w:val="0"/>
        </w:rPr>
        <w:t xml:space="preserve">CASE STUDY GUIDE</w:t>
      </w:r>
    </w:p>
    <w:p w:rsidR="00000000" w:rsidDel="00000000" w:rsidP="00000000" w:rsidRDefault="00000000" w:rsidRPr="00000000" w14:paraId="000000F5">
      <w:pPr>
        <w:pStyle w:val="Title"/>
        <w:numPr>
          <w:ilvl w:val="0"/>
          <w:numId w:val="6"/>
        </w:numPr>
        <w:spacing w:after="80" w:before="360" w:lineRule="auto"/>
        <w:ind w:left="720" w:hanging="360"/>
        <w:rPr>
          <w:b w:val="1"/>
          <w:bCs w:val="1"/>
          <w:color w:val="ff7602"/>
          <w:sz w:val="22"/>
          <w:szCs w:val="22"/>
        </w:rPr>
      </w:pPr>
      <w:bookmarkStart w:colFirst="0" w:colLast="0" w:name="_heading=h.20n45d33xe60" w:id="25"/>
      <w:bookmarkEnd w:id="25"/>
      <w:r w:rsidDel="00000000" w:rsidR="00000000" w:rsidRPr="00000000">
        <w:rPr>
          <w:rtl w:val="0"/>
        </w:rPr>
        <w:t xml:space="preserve"> PROBLEM CONTEXT (PRE-NRC)</w:t>
      </w:r>
    </w:p>
    <w:p w:rsidR="00000000" w:rsidDel="00000000" w:rsidP="00000000" w:rsidRDefault="00000000" w:rsidRPr="00000000" w14:paraId="000000F6">
      <w:pPr>
        <w:spacing w:after="240" w:before="240" w:line="240" w:lineRule="auto"/>
        <w:rPr/>
      </w:pPr>
      <w:r w:rsidDel="00000000" w:rsidR="00000000" w:rsidRPr="00000000">
        <w:rPr>
          <w:rtl w:val="0"/>
        </w:rPr>
        <w:t xml:space="preserve">Key land/housing problems:</w:t>
      </w:r>
    </w:p>
    <w:p w:rsidR="00000000" w:rsidDel="00000000" w:rsidP="00000000" w:rsidRDefault="00000000" w:rsidRPr="00000000" w14:paraId="000000F7">
      <w:pPr>
        <w:numPr>
          <w:ilvl w:val="0"/>
          <w:numId w:val="5"/>
        </w:numPr>
        <w:spacing w:after="0" w:before="240" w:line="240" w:lineRule="auto"/>
        <w:ind w:left="720" w:hanging="360"/>
      </w:pPr>
      <w:r w:rsidDel="00000000" w:rsidR="00000000" w:rsidRPr="00000000">
        <w:rPr>
          <w:rtl w:val="0"/>
        </w:rPr>
        <w:t xml:space="preserve">[X] High eviction risk</w:t>
      </w:r>
    </w:p>
    <w:p w:rsidR="00000000" w:rsidDel="00000000" w:rsidP="00000000" w:rsidRDefault="00000000" w:rsidRPr="00000000" w14:paraId="000000F8">
      <w:pPr>
        <w:numPr>
          <w:ilvl w:val="0"/>
          <w:numId w:val="5"/>
        </w:numPr>
        <w:spacing w:after="0" w:line="240" w:lineRule="auto"/>
        <w:ind w:left="720" w:hanging="360"/>
      </w:pPr>
      <w:r w:rsidDel="00000000" w:rsidR="00000000" w:rsidRPr="00000000">
        <w:rPr>
          <w:rtl w:val="0"/>
        </w:rPr>
        <w:t xml:space="preserve">[X] No documentation</w:t>
      </w:r>
    </w:p>
    <w:p w:rsidR="00000000" w:rsidDel="00000000" w:rsidP="00000000" w:rsidRDefault="00000000" w:rsidRPr="00000000" w14:paraId="000000F9">
      <w:pPr>
        <w:numPr>
          <w:ilvl w:val="0"/>
          <w:numId w:val="5"/>
        </w:numPr>
        <w:spacing w:after="0" w:line="240" w:lineRule="auto"/>
        <w:ind w:left="720" w:hanging="360"/>
      </w:pPr>
      <w:r w:rsidDel="00000000" w:rsidR="00000000" w:rsidRPr="00000000">
        <w:rPr>
          <w:rtl w:val="0"/>
        </w:rPr>
        <w:t xml:space="preserve">[X] Repeated displacement</w:t>
      </w:r>
    </w:p>
    <w:p w:rsidR="00000000" w:rsidDel="00000000" w:rsidP="00000000" w:rsidRDefault="00000000" w:rsidRPr="00000000" w14:paraId="000000FA">
      <w:pPr>
        <w:numPr>
          <w:ilvl w:val="0"/>
          <w:numId w:val="5"/>
        </w:numPr>
        <w:spacing w:after="0" w:line="240" w:lineRule="auto"/>
        <w:ind w:left="720" w:hanging="360"/>
      </w:pPr>
      <w:r w:rsidDel="00000000" w:rsidR="00000000" w:rsidRPr="00000000">
        <w:rPr>
          <w:rtl w:val="0"/>
        </w:rPr>
        <w:t xml:space="preserve">[X] Land disputes</w:t>
      </w:r>
    </w:p>
    <w:p w:rsidR="00000000" w:rsidDel="00000000" w:rsidP="00000000" w:rsidRDefault="00000000" w:rsidRPr="00000000" w14:paraId="000000FB">
      <w:pPr>
        <w:numPr>
          <w:ilvl w:val="0"/>
          <w:numId w:val="5"/>
        </w:numPr>
        <w:spacing w:after="0" w:line="240" w:lineRule="auto"/>
        <w:ind w:left="720" w:hanging="360"/>
      </w:pPr>
      <w:r w:rsidDel="00000000" w:rsidR="00000000" w:rsidRPr="00000000">
        <w:rPr>
          <w:rtl w:val="0"/>
        </w:rPr>
        <w:t xml:space="preserve">[X] Gender-specific barriers</w:t>
      </w:r>
    </w:p>
    <w:p w:rsidR="00000000" w:rsidDel="00000000" w:rsidP="00000000" w:rsidRDefault="00000000" w:rsidRPr="00000000" w14:paraId="000000FC">
      <w:pPr>
        <w:numPr>
          <w:ilvl w:val="0"/>
          <w:numId w:val="5"/>
        </w:numPr>
        <w:spacing w:after="200" w:line="240" w:lineRule="auto"/>
        <w:ind w:left="720" w:hanging="360"/>
      </w:pPr>
      <w:r w:rsidDel="00000000" w:rsidR="00000000" w:rsidRPr="00000000">
        <w:rPr>
          <w:rtl w:val="0"/>
        </w:rPr>
        <w:t xml:space="preserve">[X] Other: severe shelter deprivation, overcrowding, unsafe communal sanitation, fire and flood exposure, and service deficits. </w:t>
      </w:r>
    </w:p>
    <w:p w:rsidR="00000000" w:rsidDel="00000000" w:rsidP="00000000" w:rsidRDefault="00000000" w:rsidRPr="00000000" w14:paraId="000000FD">
      <w:pPr>
        <w:spacing w:after="200" w:line="240" w:lineRule="auto"/>
        <w:jc w:val="both"/>
        <w:rPr/>
      </w:pPr>
      <w:r w:rsidDel="00000000" w:rsidR="00000000" w:rsidRPr="00000000">
        <w:rPr>
          <w:rtl w:val="0"/>
        </w:rPr>
        <w:t xml:space="preserve">Before NRC’s intervention, many displaced households in Kismayo were living on private land without durable legal protection, in camps such as Dalxiiska where repeated eviction, overcrowding, unsafe shelters, and poor sanitation were routine. The preliminary analysis identifies urban expansion and rising land values as a major structural eviction driver: land that had once been peripheral became commercially valuable, prompting landlords to reclaim it. The result was repeated movement, highly insecure shelter, and severe gendered harms, especially for women and girls exposed to harassment, rape risk, and unsafe communal sanitation. </w:t>
      </w:r>
    </w:p>
    <w:p w:rsidR="00000000" w:rsidDel="00000000" w:rsidP="00000000" w:rsidRDefault="00000000" w:rsidRPr="00000000" w14:paraId="000000FE">
      <w:pPr>
        <w:pStyle w:val="Title"/>
        <w:numPr>
          <w:ilvl w:val="0"/>
          <w:numId w:val="6"/>
        </w:numPr>
        <w:spacing w:after="80" w:before="200" w:lineRule="auto"/>
        <w:ind w:left="720" w:hanging="360"/>
        <w:rPr>
          <w:b w:val="1"/>
          <w:bCs w:val="1"/>
          <w:color w:val="ff7602"/>
          <w:sz w:val="22"/>
          <w:szCs w:val="22"/>
        </w:rPr>
      </w:pPr>
      <w:bookmarkStart w:colFirst="0" w:colLast="0" w:name="_heading=h.xan9hnbdp6l5" w:id="26"/>
      <w:bookmarkEnd w:id="26"/>
      <w:r w:rsidDel="00000000" w:rsidR="00000000" w:rsidRPr="00000000">
        <w:rPr>
          <w:rtl w:val="0"/>
        </w:rPr>
        <w:t xml:space="preserve"> NRC INTERVENTION &amp; MECHANISM</w:t>
      </w:r>
    </w:p>
    <w:p w:rsidR="00000000" w:rsidDel="00000000" w:rsidP="00000000" w:rsidRDefault="00000000" w:rsidRPr="00000000" w14:paraId="000000FF">
      <w:pPr>
        <w:spacing w:after="240" w:before="240" w:line="240" w:lineRule="auto"/>
        <w:rPr/>
      </w:pPr>
      <w:r w:rsidDel="00000000" w:rsidR="00000000" w:rsidRPr="00000000">
        <w:rPr>
          <w:rtl w:val="0"/>
        </w:rPr>
        <w:t xml:space="preserve">What NRC did (core elements):</w:t>
      </w:r>
    </w:p>
    <w:p w:rsidR="00000000" w:rsidDel="00000000" w:rsidP="00000000" w:rsidRDefault="00000000" w:rsidRPr="00000000" w14:paraId="00000100">
      <w:pPr>
        <w:numPr>
          <w:ilvl w:val="0"/>
          <w:numId w:val="2"/>
        </w:numPr>
        <w:spacing w:after="0" w:before="240" w:line="240" w:lineRule="auto"/>
        <w:ind w:left="720" w:hanging="360"/>
      </w:pPr>
      <w:r w:rsidDel="00000000" w:rsidR="00000000" w:rsidRPr="00000000">
        <w:rPr>
          <w:rtl w:val="0"/>
        </w:rPr>
        <w:t xml:space="preserve">[X] Land access / allocation</w:t>
      </w:r>
    </w:p>
    <w:p w:rsidR="00000000" w:rsidDel="00000000" w:rsidP="00000000" w:rsidRDefault="00000000" w:rsidRPr="00000000" w14:paraId="00000101">
      <w:pPr>
        <w:numPr>
          <w:ilvl w:val="0"/>
          <w:numId w:val="2"/>
        </w:numPr>
        <w:spacing w:after="0" w:line="240" w:lineRule="auto"/>
        <w:ind w:left="720" w:hanging="360"/>
      </w:pPr>
      <w:r w:rsidDel="00000000" w:rsidR="00000000" w:rsidRPr="00000000">
        <w:rPr>
          <w:rtl w:val="0"/>
        </w:rPr>
        <w:t xml:space="preserve">[X] Documentation / agreements</w:t>
      </w:r>
    </w:p>
    <w:p w:rsidR="00000000" w:rsidDel="00000000" w:rsidP="00000000" w:rsidRDefault="00000000" w:rsidRPr="00000000" w14:paraId="00000102">
      <w:pPr>
        <w:numPr>
          <w:ilvl w:val="0"/>
          <w:numId w:val="2"/>
        </w:numPr>
        <w:spacing w:after="0" w:line="240" w:lineRule="auto"/>
        <w:ind w:left="720" w:hanging="360"/>
      </w:pPr>
      <w:r w:rsidDel="00000000" w:rsidR="00000000" w:rsidRPr="00000000">
        <w:rPr>
          <w:rtl w:val="0"/>
        </w:rPr>
        <w:t xml:space="preserve">[X] Mediation / negotiation</w:t>
      </w:r>
    </w:p>
    <w:p w:rsidR="00000000" w:rsidDel="00000000" w:rsidP="00000000" w:rsidRDefault="00000000" w:rsidRPr="00000000" w14:paraId="00000103">
      <w:pPr>
        <w:numPr>
          <w:ilvl w:val="0"/>
          <w:numId w:val="2"/>
        </w:numPr>
        <w:spacing w:after="0" w:line="240" w:lineRule="auto"/>
        <w:ind w:left="720" w:hanging="360"/>
      </w:pPr>
      <w:r w:rsidDel="00000000" w:rsidR="00000000" w:rsidRPr="00000000">
        <w:rPr>
          <w:rtl w:val="0"/>
        </w:rPr>
        <w:t xml:space="preserve">[X] Eviction prevention</w:t>
      </w:r>
    </w:p>
    <w:p w:rsidR="00000000" w:rsidDel="00000000" w:rsidP="00000000" w:rsidRDefault="00000000" w:rsidRPr="00000000" w14:paraId="00000104">
      <w:pPr>
        <w:numPr>
          <w:ilvl w:val="0"/>
          <w:numId w:val="2"/>
        </w:numPr>
        <w:spacing w:after="0" w:line="240" w:lineRule="auto"/>
        <w:ind w:left="720" w:hanging="360"/>
      </w:pPr>
      <w:r w:rsidDel="00000000" w:rsidR="00000000" w:rsidRPr="00000000">
        <w:rPr>
          <w:rtl w:val="0"/>
        </w:rPr>
        <w:t xml:space="preserve">[X] Shelter linked to tenure</w:t>
      </w:r>
    </w:p>
    <w:p w:rsidR="00000000" w:rsidDel="00000000" w:rsidP="00000000" w:rsidRDefault="00000000" w:rsidRPr="00000000" w14:paraId="00000105">
      <w:pPr>
        <w:numPr>
          <w:ilvl w:val="0"/>
          <w:numId w:val="2"/>
        </w:numPr>
        <w:spacing w:after="200" w:line="240" w:lineRule="auto"/>
        <w:ind w:left="720" w:hanging="360"/>
      </w:pPr>
      <w:r w:rsidDel="00000000" w:rsidR="00000000" w:rsidRPr="00000000">
        <w:rPr>
          <w:rtl w:val="0"/>
        </w:rPr>
        <w:t xml:space="preserve">[X] Other: government coordination, GPS registration, five-year no-sale restriction, and community dispute resolution training.</w:t>
      </w:r>
    </w:p>
    <w:p w:rsidR="00000000" w:rsidDel="00000000" w:rsidP="00000000" w:rsidRDefault="00000000" w:rsidRPr="00000000" w14:paraId="00000106">
      <w:pPr>
        <w:spacing w:after="200" w:line="240" w:lineRule="auto"/>
        <w:jc w:val="both"/>
        <w:rPr/>
      </w:pPr>
      <w:r w:rsidDel="00000000" w:rsidR="00000000" w:rsidRPr="00000000">
        <w:rPr>
          <w:rtl w:val="0"/>
        </w:rPr>
        <w:t xml:space="preserve">Kismayo’s HLP model is defined by a government-land approach. Rather than facilitating community land purchase, NRC worked with the Jubbaland authorities to resettle beneficiaries onto government-donated land in Luglaw, where permanent houses were built and title deeds issued through JUCRI and the land administration system. At the same time, NRC also pursued a private-land strand based on written five-year agreements for IDPs who remained on private land. This dual-track approach was selected because buying land would have been expensive and slow, while government allocation made permanent resettlement more feasible. </w:t>
      </w:r>
    </w:p>
    <w:p w:rsidR="00000000" w:rsidDel="00000000" w:rsidP="00000000" w:rsidRDefault="00000000" w:rsidRPr="00000000" w14:paraId="00000107">
      <w:pPr>
        <w:pStyle w:val="Title"/>
        <w:numPr>
          <w:ilvl w:val="0"/>
          <w:numId w:val="6"/>
        </w:numPr>
        <w:spacing w:after="80" w:before="200" w:lineRule="auto"/>
        <w:ind w:left="720" w:hanging="360"/>
        <w:rPr>
          <w:b w:val="1"/>
          <w:bCs w:val="1"/>
          <w:color w:val="ff7602"/>
          <w:sz w:val="22"/>
          <w:szCs w:val="22"/>
        </w:rPr>
      </w:pPr>
      <w:bookmarkStart w:colFirst="0" w:colLast="0" w:name="_heading=h.3ye90ob6as63" w:id="27"/>
      <w:bookmarkEnd w:id="27"/>
      <w:r w:rsidDel="00000000" w:rsidR="00000000" w:rsidRPr="00000000">
        <w:rPr>
          <w:rtl w:val="0"/>
        </w:rPr>
        <w:t xml:space="preserve">OUTCOMES ACHIEVED</w:t>
      </w:r>
    </w:p>
    <w:sdt>
      <w:sdtPr>
        <w:lock w:val="contentLocked"/>
        <w:id w:val="-343392617"/>
        <w:tag w:val="goog_rdk_1"/>
      </w:sdtPr>
      <w:sdtContent>
        <w:tbl>
          <w:tblPr>
            <w:tblStyle w:val="Table10"/>
            <w:tblW w:w="97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85"/>
            <w:gridCol w:w="3150"/>
            <w:gridCol w:w="4230"/>
            <w:tblGridChange w:id="0">
              <w:tblGrid>
                <w:gridCol w:w="2385"/>
                <w:gridCol w:w="3150"/>
                <w:gridCol w:w="4230"/>
              </w:tblGrid>
            </w:tblGridChange>
          </w:tblGrid>
          <w:tr>
            <w:trPr>
              <w:cantSplit w:val="0"/>
              <w:trHeight w:val="515" w:hRule="atLeast"/>
              <w:tblHeader w:val="0"/>
            </w:trPr>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08">
                <w:pPr>
                  <w:spacing w:after="0" w:line="240" w:lineRule="auto"/>
                  <w:jc w:val="center"/>
                  <w:rPr/>
                </w:pPr>
                <w:r w:rsidDel="00000000" w:rsidR="00000000" w:rsidRPr="00000000">
                  <w:rPr>
                    <w:b w:val="1"/>
                    <w:bCs w:val="1"/>
                    <w:rtl w:val="0"/>
                  </w:rPr>
                  <w:t xml:space="preserve">Outcome area</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09">
                <w:pPr>
                  <w:spacing w:after="0" w:line="240" w:lineRule="auto"/>
                  <w:jc w:val="center"/>
                  <w:rPr/>
                </w:pPr>
                <w:r w:rsidDel="00000000" w:rsidR="00000000" w:rsidRPr="00000000">
                  <w:rPr>
                    <w:b w:val="1"/>
                    <w:bCs w:val="1"/>
                    <w:rtl w:val="0"/>
                  </w:rPr>
                  <w:t xml:space="preserve">Assessment</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0A">
                <w:pPr>
                  <w:spacing w:after="0" w:line="240" w:lineRule="auto"/>
                  <w:jc w:val="center"/>
                  <w:rPr/>
                </w:pPr>
                <w:r w:rsidDel="00000000" w:rsidR="00000000" w:rsidRPr="00000000">
                  <w:rPr>
                    <w:b w:val="1"/>
                    <w:bCs w:val="1"/>
                    <w:rtl w:val="0"/>
                  </w:rPr>
                  <w:t xml:space="preserve">Evidence</w:t>
                </w:r>
                <w:r w:rsidDel="00000000" w:rsidR="00000000" w:rsidRPr="00000000">
                  <w:rPr>
                    <w:rtl w:val="0"/>
                  </w:rPr>
                </w:r>
              </w:p>
            </w:tc>
          </w:tr>
          <w:tr>
            <w:trPr>
              <w:cantSplit w:val="0"/>
              <w:trHeight w:val="515" w:hRule="atLeast"/>
              <w:tblHeader w:val="0"/>
            </w:trPr>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0B">
                <w:pPr>
                  <w:spacing w:after="0" w:line="240" w:lineRule="auto"/>
                  <w:rPr/>
                </w:pPr>
                <w:r w:rsidDel="00000000" w:rsidR="00000000" w:rsidRPr="00000000">
                  <w:rPr>
                    <w:b w:val="1"/>
                    <w:bCs w:val="1"/>
                    <w:rtl w:val="0"/>
                  </w:rPr>
                  <w:t xml:space="preserve">Tenure security</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0C">
                <w:pPr>
                  <w:spacing w:after="0" w:line="240" w:lineRule="auto"/>
                  <w:rPr/>
                </w:pPr>
                <w:r w:rsidDel="00000000" w:rsidR="00000000" w:rsidRPr="00000000">
                  <w:rPr>
                    <w:rtl w:val="0"/>
                  </w:rPr>
                  <w:t xml:space="preserve">[ ] Strong [X] Mixed [ ] Weak</w:t>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0D">
                <w:pPr>
                  <w:spacing w:after="0" w:line="240" w:lineRule="auto"/>
                  <w:rPr/>
                </w:pPr>
                <w:r w:rsidDel="00000000" w:rsidR="00000000" w:rsidRPr="00000000">
                  <w:rPr>
                    <w:rtl w:val="0"/>
                  </w:rPr>
                  <w:t xml:space="preserve">Strong for households who already hold title deeds, but there is an active two-tier problem: many households, especially in the 250 UNHCR units and the recent Halgan cohort, are still waiting for title deeds, leaving a gap between physical occupation and full legal ownership. </w:t>
                </w:r>
              </w:p>
            </w:tc>
          </w:tr>
          <w:tr>
            <w:trPr>
              <w:cantSplit w:val="0"/>
              <w:trHeight w:val="515" w:hRule="atLeast"/>
              <w:tblHeader w:val="0"/>
            </w:trPr>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0E">
                <w:pPr>
                  <w:spacing w:after="0" w:line="240" w:lineRule="auto"/>
                  <w:rPr/>
                </w:pPr>
                <w:r w:rsidDel="00000000" w:rsidR="00000000" w:rsidRPr="00000000">
                  <w:rPr>
                    <w:b w:val="1"/>
                    <w:bCs w:val="1"/>
                    <w:rtl w:val="0"/>
                  </w:rPr>
                  <w:t xml:space="preserve">Eviction risk</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0F">
                <w:pPr>
                  <w:spacing w:after="0" w:line="240" w:lineRule="auto"/>
                  <w:rPr/>
                </w:pPr>
                <w:r w:rsidDel="00000000" w:rsidR="00000000" w:rsidRPr="00000000">
                  <w:rPr>
                    <w:rtl w:val="0"/>
                  </w:rPr>
                  <w:t xml:space="preserve">[X] Reduced [ ] Mixed [ ] Unchanged</w:t>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10">
                <w:pPr>
                  <w:spacing w:after="0" w:line="240" w:lineRule="auto"/>
                  <w:rPr/>
                </w:pPr>
                <w:r w:rsidDel="00000000" w:rsidR="00000000" w:rsidRPr="00000000">
                  <w:rPr>
                    <w:rtl w:val="0"/>
                  </w:rPr>
                  <w:t xml:space="preserve">The intervention directly reduced eviction risk by moving households from insecure private land into government-allocated plots and by introducing written agreements for those still on private land. Government and implementation actors consistently report substantial reduction in eviction cases. </w:t>
                </w:r>
              </w:p>
            </w:tc>
          </w:tr>
          <w:tr>
            <w:trPr>
              <w:cantSplit w:val="0"/>
              <w:trHeight w:val="515" w:hRule="atLeast"/>
              <w:tblHeader w:val="0"/>
            </w:trPr>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11">
                <w:pPr>
                  <w:spacing w:after="0" w:line="240" w:lineRule="auto"/>
                  <w:rPr/>
                </w:pPr>
                <w:r w:rsidDel="00000000" w:rsidR="00000000" w:rsidRPr="00000000">
                  <w:rPr>
                    <w:b w:val="1"/>
                    <w:bCs w:val="1"/>
                    <w:rtl w:val="0"/>
                  </w:rPr>
                  <w:t xml:space="preserve">Dispute resolution</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12">
                <w:pPr>
                  <w:spacing w:after="0" w:line="240" w:lineRule="auto"/>
                  <w:rPr/>
                </w:pPr>
                <w:r w:rsidDel="00000000" w:rsidR="00000000" w:rsidRPr="00000000">
                  <w:rPr>
                    <w:rtl w:val="0"/>
                  </w:rPr>
                  <w:t xml:space="preserve">[X] Improved [ ] Some change [ ] No change</w:t>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13">
                <w:pPr>
                  <w:spacing w:after="0" w:line="240" w:lineRule="auto"/>
                  <w:rPr/>
                </w:pPr>
                <w:r w:rsidDel="00000000" w:rsidR="00000000" w:rsidRPr="00000000">
                  <w:rPr>
                    <w:rtl w:val="0"/>
                  </w:rPr>
                  <w:t xml:space="preserve">The data reports  fewer land disputes and clearer pathways for resolving them, including community committees, authorities, police, JUCRI, and formal documentation. However, this is not dispute elimination everywhere; it is a marked improvement relative to pre-intervention camp conditions. </w:t>
                </w:r>
              </w:p>
            </w:tc>
          </w:tr>
          <w:tr>
            <w:trPr>
              <w:cantSplit w:val="0"/>
              <w:trHeight w:val="515" w:hRule="atLeast"/>
              <w:tblHeader w:val="0"/>
            </w:trPr>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14">
                <w:pPr>
                  <w:spacing w:after="0" w:line="240" w:lineRule="auto"/>
                  <w:rPr/>
                </w:pPr>
                <w:r w:rsidDel="00000000" w:rsidR="00000000" w:rsidRPr="00000000">
                  <w:rPr>
                    <w:b w:val="1"/>
                    <w:bCs w:val="1"/>
                    <w:rtl w:val="0"/>
                  </w:rPr>
                  <w:t xml:space="preserve">Housing / investment</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15">
                <w:pPr>
                  <w:spacing w:after="0" w:line="240" w:lineRule="auto"/>
                  <w:rPr/>
                </w:pPr>
                <w:r w:rsidDel="00000000" w:rsidR="00000000" w:rsidRPr="00000000">
                  <w:rPr>
                    <w:rtl w:val="0"/>
                  </w:rPr>
                  <w:t xml:space="preserve">[ ] Significant [X] Some [ ] Minimal</w:t>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16">
                <w:pPr>
                  <w:spacing w:after="0" w:line="240" w:lineRule="auto"/>
                  <w:rPr/>
                </w:pPr>
                <w:r w:rsidDel="00000000" w:rsidR="00000000" w:rsidRPr="00000000">
                  <w:rPr>
                    <w:rtl w:val="0"/>
                  </w:rPr>
                  <w:t xml:space="preserve">Housing conditions improved significantly: beneficiaries repeatedly describe two-room concrete houses, toilets, kitchens, fences, and relief from tent/rag shelter conditions. However, housing security is stronger than settlement habitability, and livelihood/investment promises were only partially delivered. </w:t>
                </w:r>
              </w:p>
            </w:tc>
          </w:tr>
          <w:tr>
            <w:trPr>
              <w:cantSplit w:val="0"/>
              <w:trHeight w:val="515" w:hRule="atLeast"/>
              <w:tblHeader w:val="0"/>
            </w:trPr>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17">
                <w:pPr>
                  <w:spacing w:after="0" w:line="240" w:lineRule="auto"/>
                  <w:rPr/>
                </w:pPr>
                <w:r w:rsidDel="00000000" w:rsidR="00000000" w:rsidRPr="00000000">
                  <w:rPr>
                    <w:b w:val="1"/>
                    <w:bCs w:val="1"/>
                    <w:rtl w:val="0"/>
                  </w:rPr>
                  <w:t xml:space="preserve">Safety &amp; stability</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18">
                <w:pPr>
                  <w:spacing w:after="0" w:line="240" w:lineRule="auto"/>
                  <w:rPr/>
                </w:pPr>
                <w:r w:rsidDel="00000000" w:rsidR="00000000" w:rsidRPr="00000000">
                  <w:rPr>
                    <w:rtl w:val="0"/>
                  </w:rPr>
                  <w:t xml:space="preserve">[X] Improved [ ] Mixed [ ] No change</w:t>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19">
                <w:pPr>
                  <w:spacing w:after="0" w:line="240" w:lineRule="auto"/>
                  <w:rPr/>
                </w:pPr>
                <w:r w:rsidDel="00000000" w:rsidR="00000000" w:rsidRPr="00000000">
                  <w:rPr>
                    <w:rtl w:val="0"/>
                  </w:rPr>
                  <w:t xml:space="preserve">There is strong evidence of improved safety, privacy, and stability compared with camp life: private fenced compounds, secure doors, reduced theft, less fear of rape, improved policing, and a marked reduction in the psychological burden of repeated eviction. But service and livelihood gaps still affect whether settlement life feels fully stable. </w:t>
                </w:r>
              </w:p>
            </w:tc>
          </w:tr>
        </w:tbl>
      </w:sdtContent>
    </w:sdt>
    <w:p w:rsidR="00000000" w:rsidDel="00000000" w:rsidP="00000000" w:rsidRDefault="00000000" w:rsidRPr="00000000" w14:paraId="0000011A">
      <w:pPr>
        <w:spacing w:after="80" w:before="360" w:lineRule="auto"/>
        <w:jc w:val="both"/>
        <w:rPr/>
      </w:pPr>
      <w:r w:rsidDel="00000000" w:rsidR="00000000" w:rsidRPr="00000000">
        <w:rPr>
          <w:rtl w:val="0"/>
        </w:rPr>
        <w:t xml:space="preserve">The clearest positive outcome is that formal title plus permanent housing reduced eviction risk and transformed residential stability for deed-holding beneficiaries. Residents repeatedly describe the new houses as the first real home they have had after years of displacement. At the same time, there is a documented two-tier problem: some households still occupy permanent government-donated land without yet having received their title deeds, and the broader private-land lease population remains more exposed. </w:t>
      </w:r>
    </w:p>
    <w:p w:rsidR="00000000" w:rsidDel="00000000" w:rsidP="00000000" w:rsidRDefault="00000000" w:rsidRPr="00000000" w14:paraId="0000011B">
      <w:pPr>
        <w:pStyle w:val="Title"/>
        <w:numPr>
          <w:ilvl w:val="0"/>
          <w:numId w:val="6"/>
        </w:numPr>
        <w:spacing w:after="80" w:before="360" w:lineRule="auto"/>
        <w:ind w:left="720" w:hanging="360"/>
        <w:rPr>
          <w:b w:val="1"/>
          <w:bCs w:val="1"/>
          <w:color w:val="ff7602"/>
          <w:sz w:val="22"/>
          <w:szCs w:val="22"/>
        </w:rPr>
      </w:pPr>
      <w:bookmarkStart w:colFirst="0" w:colLast="0" w:name="_heading=h.pmwo77w74eme" w:id="28"/>
      <w:bookmarkEnd w:id="28"/>
      <w:r w:rsidDel="00000000" w:rsidR="00000000" w:rsidRPr="00000000">
        <w:rPr>
          <w:rtl w:val="0"/>
        </w:rPr>
        <w:t xml:space="preserve">GENDER &amp; INCLUSION</w:t>
      </w:r>
    </w:p>
    <w:p w:rsidR="00000000" w:rsidDel="00000000" w:rsidP="00000000" w:rsidRDefault="00000000" w:rsidRPr="00000000" w14:paraId="0000011C">
      <w:pPr>
        <w:spacing w:after="240" w:before="240" w:line="240" w:lineRule="auto"/>
        <w:rPr/>
      </w:pPr>
      <w:r w:rsidDel="00000000" w:rsidR="00000000" w:rsidRPr="00000000">
        <w:rPr>
          <w:rtl w:val="0"/>
        </w:rPr>
        <w:t xml:space="preserve">Women's and vulnerable groups’ tenure protection in practice:</w:t>
      </w:r>
    </w:p>
    <w:p w:rsidR="00000000" w:rsidDel="00000000" w:rsidP="00000000" w:rsidRDefault="00000000" w:rsidRPr="00000000" w14:paraId="0000011D">
      <w:pPr>
        <w:numPr>
          <w:ilvl w:val="0"/>
          <w:numId w:val="7"/>
        </w:numPr>
        <w:spacing w:after="0" w:before="240" w:line="240" w:lineRule="auto"/>
        <w:ind w:left="720" w:hanging="360"/>
      </w:pPr>
      <w:r w:rsidDel="00000000" w:rsidR="00000000" w:rsidRPr="00000000">
        <w:rPr>
          <w:rtl w:val="0"/>
        </w:rPr>
        <w:t xml:space="preserve">[ ] Strong</w:t>
      </w:r>
    </w:p>
    <w:p w:rsidR="00000000" w:rsidDel="00000000" w:rsidP="00000000" w:rsidRDefault="00000000" w:rsidRPr="00000000" w14:paraId="0000011E">
      <w:pPr>
        <w:numPr>
          <w:ilvl w:val="0"/>
          <w:numId w:val="7"/>
        </w:numPr>
        <w:spacing w:after="0" w:line="240" w:lineRule="auto"/>
        <w:ind w:left="720" w:hanging="360"/>
      </w:pPr>
      <w:r w:rsidDel="00000000" w:rsidR="00000000" w:rsidRPr="00000000">
        <w:rPr>
          <w:rtl w:val="0"/>
        </w:rPr>
        <w:t xml:space="preserve">[X] Conditional</w:t>
      </w:r>
    </w:p>
    <w:p w:rsidR="00000000" w:rsidDel="00000000" w:rsidP="00000000" w:rsidRDefault="00000000" w:rsidRPr="00000000" w14:paraId="0000011F">
      <w:pPr>
        <w:numPr>
          <w:ilvl w:val="0"/>
          <w:numId w:val="7"/>
        </w:numPr>
        <w:spacing w:after="200" w:line="240" w:lineRule="auto"/>
        <w:ind w:left="720" w:hanging="360"/>
      </w:pPr>
      <w:r w:rsidDel="00000000" w:rsidR="00000000" w:rsidRPr="00000000">
        <w:rPr>
          <w:rtl w:val="0"/>
        </w:rPr>
        <w:t xml:space="preserve">[ ] Weak</w:t>
      </w:r>
    </w:p>
    <w:p w:rsidR="00000000" w:rsidDel="00000000" w:rsidP="00000000" w:rsidRDefault="00000000" w:rsidRPr="00000000" w14:paraId="00000120">
      <w:pPr>
        <w:spacing w:after="240" w:before="240" w:line="240" w:lineRule="auto"/>
        <w:jc w:val="both"/>
        <w:rPr/>
      </w:pPr>
      <w:r w:rsidDel="00000000" w:rsidR="00000000" w:rsidRPr="00000000">
        <w:rPr>
          <w:rtl w:val="0"/>
        </w:rPr>
        <w:t xml:space="preserve">Women were deliberately targeted in the Kismayo intervention, and many houses were registered in women’s names, to the point that the community refers to Luglaw as a “village of women.” This is a major design strength. But the evidence also shows that inclusion is not uniform: some women, particularly in later cohorts, did not experience meaningful consultation, and there are some reports of exclusion from formal interface meetings with courts and government offices even while holding a leadership role at community level. Formal registration in women’s names also does not fully eliminate intra-household control risks. </w:t>
      </w:r>
    </w:p>
    <w:p w:rsidR="00000000" w:rsidDel="00000000" w:rsidP="00000000" w:rsidRDefault="00000000" w:rsidRPr="00000000" w14:paraId="00000121">
      <w:pPr>
        <w:spacing w:after="240" w:before="240" w:line="240" w:lineRule="auto"/>
        <w:rPr/>
      </w:pPr>
      <w:r w:rsidDel="00000000" w:rsidR="00000000" w:rsidRPr="00000000">
        <w:rPr>
          <w:rtl w:val="0"/>
        </w:rPr>
      </w:r>
    </w:p>
    <w:p w:rsidR="00000000" w:rsidDel="00000000" w:rsidP="00000000" w:rsidRDefault="00000000" w:rsidRPr="00000000" w14:paraId="00000122">
      <w:pPr>
        <w:pStyle w:val="Title"/>
        <w:numPr>
          <w:ilvl w:val="0"/>
          <w:numId w:val="6"/>
        </w:numPr>
        <w:spacing w:after="80" w:before="200" w:lineRule="auto"/>
        <w:ind w:left="720" w:hanging="360"/>
        <w:rPr>
          <w:b w:val="1"/>
          <w:bCs w:val="1"/>
          <w:color w:val="ff7602"/>
          <w:sz w:val="22"/>
          <w:szCs w:val="22"/>
        </w:rPr>
      </w:pPr>
      <w:bookmarkStart w:colFirst="0" w:colLast="0" w:name="_heading=h.z1bt6fb8ku0v" w:id="29"/>
      <w:bookmarkEnd w:id="29"/>
      <w:r w:rsidDel="00000000" w:rsidR="00000000" w:rsidRPr="00000000">
        <w:rPr>
          <w:rtl w:val="0"/>
        </w:rPr>
        <w:t xml:space="preserve"> SUSTAINABILITY &amp; EXIT READINESS</w:t>
      </w:r>
    </w:p>
    <w:sdt>
      <w:sdtPr>
        <w:lock w:val="contentLocked"/>
        <w:id w:val="47255042"/>
        <w:tag w:val="goog_rdk_2"/>
      </w:sdtPr>
      <w:sdtContent>
        <w:tbl>
          <w:tblPr>
            <w:tblStyle w:val="Table11"/>
            <w:tblW w:w="8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995"/>
            <w:gridCol w:w="4265"/>
            <w:tblGridChange w:id="0">
              <w:tblGrid>
                <w:gridCol w:w="3995"/>
                <w:gridCol w:w="4265"/>
              </w:tblGrid>
            </w:tblGridChange>
          </w:tblGrid>
          <w:tr>
            <w:trPr>
              <w:cantSplit w:val="0"/>
              <w:trHeight w:val="515" w:hRule="atLeast"/>
              <w:tblHeader w:val="0"/>
            </w:trPr>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23">
                <w:pPr>
                  <w:spacing w:after="0" w:line="240" w:lineRule="auto"/>
                  <w:jc w:val="center"/>
                  <w:rPr/>
                </w:pPr>
                <w:r w:rsidDel="00000000" w:rsidR="00000000" w:rsidRPr="00000000">
                  <w:rPr>
                    <w:b w:val="1"/>
                    <w:bCs w:val="1"/>
                    <w:rtl w:val="0"/>
                  </w:rPr>
                  <w:t xml:space="preserve">Dimension</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24">
                <w:pPr>
                  <w:spacing w:after="0" w:line="240" w:lineRule="auto"/>
                  <w:jc w:val="center"/>
                  <w:rPr/>
                </w:pPr>
                <w:r w:rsidDel="00000000" w:rsidR="00000000" w:rsidRPr="00000000">
                  <w:rPr>
                    <w:b w:val="1"/>
                    <w:bCs w:val="1"/>
                    <w:rtl w:val="0"/>
                  </w:rPr>
                  <w:t xml:space="preserve">Assessment</w:t>
                </w:r>
                <w:r w:rsidDel="00000000" w:rsidR="00000000" w:rsidRPr="00000000">
                  <w:rPr>
                    <w:rtl w:val="0"/>
                  </w:rPr>
                </w:r>
              </w:p>
            </w:tc>
          </w:tr>
          <w:tr>
            <w:trPr>
              <w:cantSplit w:val="0"/>
              <w:trHeight w:val="515" w:hRule="atLeast"/>
              <w:tblHeader w:val="0"/>
            </w:trPr>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25">
                <w:pPr>
                  <w:spacing w:after="0" w:line="240" w:lineRule="auto"/>
                  <w:rPr/>
                </w:pPr>
                <w:r w:rsidDel="00000000" w:rsidR="00000000" w:rsidRPr="00000000">
                  <w:rPr>
                    <w:b w:val="1"/>
                    <w:bCs w:val="1"/>
                    <w:rtl w:val="0"/>
                  </w:rPr>
                  <w:t xml:space="preserve">Institutional ownership</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26">
                <w:pPr>
                  <w:spacing w:after="0" w:line="240" w:lineRule="auto"/>
                  <w:rPr/>
                </w:pPr>
                <w:r w:rsidDel="00000000" w:rsidR="00000000" w:rsidRPr="00000000">
                  <w:rPr>
                    <w:rtl w:val="0"/>
                  </w:rPr>
                  <w:t xml:space="preserve">[ ] Strong [X] Partial [ ] Weak</w:t>
                </w:r>
              </w:p>
            </w:tc>
          </w:tr>
          <w:tr>
            <w:trPr>
              <w:cantSplit w:val="0"/>
              <w:trHeight w:val="515" w:hRule="atLeast"/>
              <w:tblHeader w:val="0"/>
            </w:trPr>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27">
                <w:pPr>
                  <w:spacing w:after="0" w:line="240" w:lineRule="auto"/>
                  <w:rPr/>
                </w:pPr>
                <w:r w:rsidDel="00000000" w:rsidR="00000000" w:rsidRPr="00000000">
                  <w:rPr>
                    <w:b w:val="1"/>
                    <w:bCs w:val="1"/>
                    <w:rtl w:val="0"/>
                  </w:rPr>
                  <w:t xml:space="preserve">Dispute resolution after NRC</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28">
                <w:pPr>
                  <w:spacing w:after="0" w:line="240" w:lineRule="auto"/>
                  <w:rPr/>
                </w:pPr>
                <w:r w:rsidDel="00000000" w:rsidR="00000000" w:rsidRPr="00000000">
                  <w:rPr>
                    <w:rtl w:val="0"/>
                  </w:rPr>
                  <w:t xml:space="preserve">[X] Functional [ ] Uncertain [ ] Absent</w:t>
                </w:r>
              </w:p>
            </w:tc>
          </w:tr>
          <w:tr>
            <w:trPr>
              <w:cantSplit w:val="0"/>
              <w:trHeight w:val="515" w:hRule="atLeast"/>
              <w:tblHeader w:val="0"/>
            </w:trPr>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29">
                <w:pPr>
                  <w:spacing w:after="0" w:line="240" w:lineRule="auto"/>
                  <w:rPr/>
                </w:pPr>
                <w:r w:rsidDel="00000000" w:rsidR="00000000" w:rsidRPr="00000000">
                  <w:rPr>
                    <w:b w:val="1"/>
                    <w:bCs w:val="1"/>
                    <w:rtl w:val="0"/>
                  </w:rPr>
                  <w:t xml:space="preserve">Affordability of fees/taxes</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2A">
                <w:pPr>
                  <w:spacing w:after="0" w:line="240" w:lineRule="auto"/>
                  <w:rPr/>
                </w:pPr>
                <w:r w:rsidDel="00000000" w:rsidR="00000000" w:rsidRPr="00000000">
                  <w:rPr>
                    <w:rtl w:val="0"/>
                  </w:rPr>
                  <w:t xml:space="preserve">[ ] Manageable [X] Mixed [ ] Unaffordable</w:t>
                </w:r>
              </w:p>
            </w:tc>
          </w:tr>
          <w:tr>
            <w:trPr>
              <w:cantSplit w:val="0"/>
              <w:trHeight w:val="515" w:hRule="atLeast"/>
              <w:tblHeader w:val="0"/>
            </w:trPr>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2B">
                <w:pPr>
                  <w:spacing w:after="0" w:line="240" w:lineRule="auto"/>
                  <w:rPr/>
                </w:pPr>
                <w:r w:rsidDel="00000000" w:rsidR="00000000" w:rsidRPr="00000000">
                  <w:rPr>
                    <w:b w:val="1"/>
                    <w:bCs w:val="1"/>
                    <w:rtl w:val="0"/>
                  </w:rPr>
                  <w:t xml:space="preserve">Resilience to political/market change</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2C">
                <w:pPr>
                  <w:spacing w:after="0" w:line="240" w:lineRule="auto"/>
                  <w:rPr/>
                </w:pPr>
                <w:r w:rsidDel="00000000" w:rsidR="00000000" w:rsidRPr="00000000">
                  <w:rPr>
                    <w:rtl w:val="0"/>
                  </w:rPr>
                  <w:t xml:space="preserve">[ ] High [X] Medium [ ] Low</w:t>
                </w:r>
              </w:p>
            </w:tc>
          </w:tr>
        </w:tbl>
      </w:sdtContent>
    </w:sdt>
    <w:p w:rsidR="00000000" w:rsidDel="00000000" w:rsidP="00000000" w:rsidRDefault="00000000" w:rsidRPr="00000000" w14:paraId="0000012D">
      <w:pPr>
        <w:spacing w:after="240" w:before="240" w:line="240" w:lineRule="auto"/>
        <w:rPr>
          <w:b w:val="1"/>
          <w:bCs w:val="1"/>
        </w:rPr>
      </w:pPr>
      <w:r w:rsidDel="00000000" w:rsidR="00000000" w:rsidRPr="00000000">
        <w:rPr>
          <w:b w:val="1"/>
          <w:bCs w:val="1"/>
          <w:rtl w:val="0"/>
        </w:rPr>
        <w:t xml:space="preserve">Overall durability judgement:</w:t>
      </w:r>
    </w:p>
    <w:p w:rsidR="00000000" w:rsidDel="00000000" w:rsidP="00000000" w:rsidRDefault="00000000" w:rsidRPr="00000000" w14:paraId="0000012E">
      <w:pPr>
        <w:numPr>
          <w:ilvl w:val="0"/>
          <w:numId w:val="3"/>
        </w:numPr>
        <w:spacing w:after="0" w:before="240" w:line="240" w:lineRule="auto"/>
        <w:ind w:left="720" w:hanging="360"/>
      </w:pPr>
      <w:r w:rsidDel="00000000" w:rsidR="00000000" w:rsidRPr="00000000">
        <w:rPr>
          <w:rtl w:val="0"/>
        </w:rPr>
        <w:t xml:space="preserve">[ ] Durable</w:t>
      </w:r>
    </w:p>
    <w:p w:rsidR="00000000" w:rsidDel="00000000" w:rsidP="00000000" w:rsidRDefault="00000000" w:rsidRPr="00000000" w14:paraId="0000012F">
      <w:pPr>
        <w:numPr>
          <w:ilvl w:val="0"/>
          <w:numId w:val="3"/>
        </w:numPr>
        <w:spacing w:after="0" w:line="240" w:lineRule="auto"/>
        <w:ind w:left="720" w:hanging="360"/>
      </w:pPr>
      <w:r w:rsidDel="00000000" w:rsidR="00000000" w:rsidRPr="00000000">
        <w:rPr>
          <w:rtl w:val="0"/>
        </w:rPr>
        <w:t xml:space="preserve">[X] Conditional</w:t>
      </w:r>
    </w:p>
    <w:p w:rsidR="00000000" w:rsidDel="00000000" w:rsidP="00000000" w:rsidRDefault="00000000" w:rsidRPr="00000000" w14:paraId="00000130">
      <w:pPr>
        <w:numPr>
          <w:ilvl w:val="0"/>
          <w:numId w:val="3"/>
        </w:numPr>
        <w:spacing w:after="200" w:line="240" w:lineRule="auto"/>
        <w:ind w:left="720" w:hanging="360"/>
      </w:pPr>
      <w:r w:rsidDel="00000000" w:rsidR="00000000" w:rsidRPr="00000000">
        <w:rPr>
          <w:rtl w:val="0"/>
        </w:rPr>
        <w:t xml:space="preserve">[ ] Fragile</w:t>
      </w:r>
    </w:p>
    <w:p w:rsidR="00000000" w:rsidDel="00000000" w:rsidP="00000000" w:rsidRDefault="00000000" w:rsidRPr="00000000" w14:paraId="00000131">
      <w:pPr>
        <w:spacing w:after="200" w:line="240" w:lineRule="auto"/>
        <w:jc w:val="both"/>
        <w:rPr/>
      </w:pPr>
      <w:r w:rsidDel="00000000" w:rsidR="00000000" w:rsidRPr="00000000">
        <w:rPr>
          <w:rtl w:val="0"/>
        </w:rPr>
        <w:t xml:space="preserve">The sustainability picture is differentiated. For households with valid title deeds, formal tenure protection appears relatively durable because the documents are government-recognised and remain valid beyond NRC’s presence. But the preliminary analysis clearly warns that incomplete deed issuance, especially for the 250 UNHCR units and recent Halgan arrivals, is the most immediate risk. In addition, even where land tenure is strong, the settlement’s long-term viability is weakened by service gaps, weak roads, missing secondary education, and lack of livelihoods. </w:t>
      </w:r>
    </w:p>
    <w:p w:rsidR="00000000" w:rsidDel="00000000" w:rsidP="00000000" w:rsidRDefault="00000000" w:rsidRPr="00000000" w14:paraId="00000132">
      <w:pPr>
        <w:pStyle w:val="Title"/>
        <w:numPr>
          <w:ilvl w:val="0"/>
          <w:numId w:val="6"/>
        </w:numPr>
        <w:spacing w:after="80" w:before="200" w:lineRule="auto"/>
        <w:ind w:left="720" w:hanging="360"/>
        <w:rPr>
          <w:b w:val="1"/>
          <w:bCs w:val="1"/>
          <w:color w:val="ff7602"/>
          <w:sz w:val="22"/>
          <w:szCs w:val="22"/>
        </w:rPr>
      </w:pPr>
      <w:bookmarkStart w:colFirst="0" w:colLast="0" w:name="_heading=h.7d2xxbanx4dh" w:id="30"/>
      <w:bookmarkEnd w:id="30"/>
      <w:r w:rsidDel="00000000" w:rsidR="00000000" w:rsidRPr="00000000">
        <w:rPr>
          <w:rtl w:val="0"/>
        </w:rPr>
        <w:t xml:space="preserve"> POLITICAL ECONOMY &amp; RISK</w:t>
      </w:r>
    </w:p>
    <w:p w:rsidR="00000000" w:rsidDel="00000000" w:rsidP="00000000" w:rsidRDefault="00000000" w:rsidRPr="00000000" w14:paraId="00000133">
      <w:pPr>
        <w:spacing w:after="240" w:before="240" w:line="240" w:lineRule="auto"/>
        <w:rPr/>
      </w:pPr>
      <w:r w:rsidDel="00000000" w:rsidR="00000000" w:rsidRPr="00000000">
        <w:rPr>
          <w:rtl w:val="0"/>
        </w:rPr>
        <w:t xml:space="preserve">Main risks identified:</w:t>
      </w:r>
    </w:p>
    <w:p w:rsidR="00000000" w:rsidDel="00000000" w:rsidP="00000000" w:rsidRDefault="00000000" w:rsidRPr="00000000" w14:paraId="00000134">
      <w:pPr>
        <w:numPr>
          <w:ilvl w:val="0"/>
          <w:numId w:val="8"/>
        </w:numPr>
        <w:spacing w:after="0" w:before="240" w:line="240" w:lineRule="auto"/>
        <w:ind w:left="720" w:hanging="360"/>
      </w:pPr>
      <w:r w:rsidDel="00000000" w:rsidR="00000000" w:rsidRPr="00000000">
        <w:rPr>
          <w:rtl w:val="0"/>
        </w:rPr>
        <w:t xml:space="preserve">[ ] Elite capture</w:t>
      </w:r>
    </w:p>
    <w:p w:rsidR="00000000" w:rsidDel="00000000" w:rsidP="00000000" w:rsidRDefault="00000000" w:rsidRPr="00000000" w14:paraId="00000135">
      <w:pPr>
        <w:numPr>
          <w:ilvl w:val="0"/>
          <w:numId w:val="8"/>
        </w:numPr>
        <w:spacing w:after="0" w:line="240" w:lineRule="auto"/>
        <w:ind w:left="720" w:hanging="360"/>
      </w:pPr>
      <w:r w:rsidDel="00000000" w:rsidR="00000000" w:rsidRPr="00000000">
        <w:rPr>
          <w:rtl w:val="0"/>
        </w:rPr>
        <w:t xml:space="preserve">[X] Land speculation</w:t>
      </w:r>
    </w:p>
    <w:p w:rsidR="00000000" w:rsidDel="00000000" w:rsidP="00000000" w:rsidRDefault="00000000" w:rsidRPr="00000000" w14:paraId="00000136">
      <w:pPr>
        <w:numPr>
          <w:ilvl w:val="0"/>
          <w:numId w:val="8"/>
        </w:numPr>
        <w:spacing w:after="0" w:line="240" w:lineRule="auto"/>
        <w:ind w:left="720" w:hanging="360"/>
      </w:pPr>
      <w:r w:rsidDel="00000000" w:rsidR="00000000" w:rsidRPr="00000000">
        <w:rPr>
          <w:rtl w:val="0"/>
        </w:rPr>
        <w:t xml:space="preserve">[ ] Leadership change</w:t>
      </w:r>
    </w:p>
    <w:p w:rsidR="00000000" w:rsidDel="00000000" w:rsidP="00000000" w:rsidRDefault="00000000" w:rsidRPr="00000000" w14:paraId="00000137">
      <w:pPr>
        <w:numPr>
          <w:ilvl w:val="0"/>
          <w:numId w:val="8"/>
        </w:numPr>
        <w:spacing w:after="0" w:line="240" w:lineRule="auto"/>
        <w:ind w:left="720" w:hanging="360"/>
      </w:pPr>
      <w:r w:rsidDel="00000000" w:rsidR="00000000" w:rsidRPr="00000000">
        <w:rPr>
          <w:rtl w:val="0"/>
        </w:rPr>
        <w:t xml:space="preserve">[X] Gender exclusion</w:t>
      </w:r>
    </w:p>
    <w:p w:rsidR="00000000" w:rsidDel="00000000" w:rsidP="00000000" w:rsidRDefault="00000000" w:rsidRPr="00000000" w14:paraId="00000138">
      <w:pPr>
        <w:numPr>
          <w:ilvl w:val="0"/>
          <w:numId w:val="8"/>
        </w:numPr>
        <w:spacing w:after="0" w:line="240" w:lineRule="auto"/>
        <w:ind w:left="720" w:hanging="360"/>
      </w:pPr>
      <w:r w:rsidDel="00000000" w:rsidR="00000000" w:rsidRPr="00000000">
        <w:rPr>
          <w:rtl w:val="0"/>
        </w:rPr>
        <w:t xml:space="preserve">[X] Cost escalation</w:t>
      </w:r>
    </w:p>
    <w:p w:rsidR="00000000" w:rsidDel="00000000" w:rsidP="00000000" w:rsidRDefault="00000000" w:rsidRPr="00000000" w14:paraId="00000139">
      <w:pPr>
        <w:numPr>
          <w:ilvl w:val="0"/>
          <w:numId w:val="8"/>
        </w:numPr>
        <w:spacing w:after="200" w:line="240" w:lineRule="auto"/>
        <w:ind w:left="720" w:hanging="360"/>
      </w:pPr>
      <w:r w:rsidDel="00000000" w:rsidR="00000000" w:rsidRPr="00000000">
        <w:rPr>
          <w:rtl w:val="0"/>
        </w:rPr>
        <w:t xml:space="preserve">[X] Other: incomplete title deed issuance; selection-pressure/perverse incentives; broken livelihood/service promises.</w:t>
      </w:r>
    </w:p>
    <w:p w:rsidR="00000000" w:rsidDel="00000000" w:rsidP="00000000" w:rsidRDefault="00000000" w:rsidRPr="00000000" w14:paraId="0000013A">
      <w:pPr>
        <w:spacing w:after="200" w:line="240" w:lineRule="auto"/>
        <w:jc w:val="both"/>
        <w:rPr/>
      </w:pPr>
      <w:r w:rsidDel="00000000" w:rsidR="00000000" w:rsidRPr="00000000">
        <w:rPr>
          <w:rtl w:val="0"/>
        </w:rPr>
        <w:t xml:space="preserve">The main political-economy story in Kismayo is that market dynamics created eviction pressure, and the government-land model removed that landlord relationship for permanent-settlement beneficiaries. Yet this did not eliminate all risks. The data flags a programme-integrity risk, where some households reportedly moved into camps to qualify for housing, ongoing concern about incomplete documentation, and settlement fragility caused by unfulfilled livelihood promises and weak services. Women’s vulnerability also changes form - in lease-agreement settings and households without independent documentation, widowhood, divorce, and absence of male protection still create exposure. </w:t>
      </w:r>
    </w:p>
    <w:p w:rsidR="00000000" w:rsidDel="00000000" w:rsidP="00000000" w:rsidRDefault="00000000" w:rsidRPr="00000000" w14:paraId="0000013B">
      <w:pPr>
        <w:pStyle w:val="Title"/>
        <w:numPr>
          <w:ilvl w:val="0"/>
          <w:numId w:val="6"/>
        </w:numPr>
        <w:spacing w:after="80" w:before="200" w:lineRule="auto"/>
        <w:ind w:left="720" w:hanging="360"/>
        <w:rPr>
          <w:b w:val="1"/>
          <w:bCs w:val="1"/>
          <w:color w:val="ff7602"/>
          <w:sz w:val="22"/>
          <w:szCs w:val="22"/>
        </w:rPr>
      </w:pPr>
      <w:bookmarkStart w:colFirst="0" w:colLast="0" w:name="_heading=h.79nl6khwj1o9" w:id="31"/>
      <w:bookmarkEnd w:id="31"/>
      <w:r w:rsidDel="00000000" w:rsidR="00000000" w:rsidRPr="00000000">
        <w:rPr>
          <w:rtl w:val="0"/>
        </w:rPr>
        <w:t xml:space="preserve"> CONTRIBUTION ANALYSIS</w:t>
      </w:r>
    </w:p>
    <w:p w:rsidR="00000000" w:rsidDel="00000000" w:rsidP="00000000" w:rsidRDefault="00000000" w:rsidRPr="00000000" w14:paraId="0000013C">
      <w:pPr>
        <w:spacing w:after="240" w:before="240" w:line="240" w:lineRule="auto"/>
        <w:rPr>
          <w:b w:val="1"/>
          <w:bCs w:val="1"/>
        </w:rPr>
      </w:pPr>
      <w:r w:rsidDel="00000000" w:rsidR="00000000" w:rsidRPr="00000000">
        <w:rPr>
          <w:b w:val="1"/>
          <w:bCs w:val="1"/>
          <w:rtl w:val="0"/>
        </w:rPr>
        <w:t xml:space="preserve">What would likely have happened without NRC?</w:t>
      </w:r>
    </w:p>
    <w:p w:rsidR="00000000" w:rsidDel="00000000" w:rsidP="00000000" w:rsidRDefault="00000000" w:rsidRPr="00000000" w14:paraId="0000013D">
      <w:pPr>
        <w:spacing w:after="240" w:before="240" w:line="240" w:lineRule="auto"/>
        <w:jc w:val="both"/>
        <w:rPr/>
      </w:pPr>
      <w:r w:rsidDel="00000000" w:rsidR="00000000" w:rsidRPr="00000000">
        <w:rPr>
          <w:rtl w:val="0"/>
        </w:rPr>
        <w:t xml:space="preserve">Without NRC, the most likely result is not simply that people would have remained poor, but that they would have remained recurrently displaced on insecure private land, without permanent shelter and without formal title. The combination of government land allocation, housing construction, legal documentation, and dispute-resolution support appears central to the observed change. The government played a critical role, but even government respondents acknowledge that they could not have sustained the housing project alone without external funding. </w:t>
      </w:r>
    </w:p>
    <w:p w:rsidR="00000000" w:rsidDel="00000000" w:rsidP="00000000" w:rsidRDefault="00000000" w:rsidRPr="00000000" w14:paraId="0000013E">
      <w:pPr>
        <w:spacing w:after="240" w:before="240" w:line="240" w:lineRule="auto"/>
        <w:rPr>
          <w:b w:val="1"/>
          <w:bCs w:val="1"/>
        </w:rPr>
      </w:pPr>
      <w:r w:rsidDel="00000000" w:rsidR="00000000" w:rsidRPr="00000000">
        <w:rPr>
          <w:b w:val="1"/>
          <w:bCs w:val="1"/>
          <w:rtl w:val="0"/>
        </w:rPr>
        <w:t xml:space="preserve">NRC's role:</w:t>
      </w:r>
    </w:p>
    <w:p w:rsidR="00000000" w:rsidDel="00000000" w:rsidP="00000000" w:rsidRDefault="00000000" w:rsidRPr="00000000" w14:paraId="0000013F">
      <w:pPr>
        <w:numPr>
          <w:ilvl w:val="0"/>
          <w:numId w:val="4"/>
        </w:numPr>
        <w:spacing w:after="0" w:before="240" w:line="240" w:lineRule="auto"/>
        <w:ind w:left="720" w:hanging="360"/>
      </w:pPr>
      <w:r w:rsidDel="00000000" w:rsidR="00000000" w:rsidRPr="00000000">
        <w:rPr>
          <w:rtl w:val="0"/>
        </w:rPr>
        <w:t xml:space="preserve">[X] Necessary</w:t>
      </w:r>
    </w:p>
    <w:p w:rsidR="00000000" w:rsidDel="00000000" w:rsidP="00000000" w:rsidRDefault="00000000" w:rsidRPr="00000000" w14:paraId="00000140">
      <w:pPr>
        <w:numPr>
          <w:ilvl w:val="0"/>
          <w:numId w:val="4"/>
        </w:numPr>
        <w:spacing w:after="0" w:line="240" w:lineRule="auto"/>
        <w:ind w:left="720" w:hanging="360"/>
      </w:pPr>
      <w:r w:rsidDel="00000000" w:rsidR="00000000" w:rsidRPr="00000000">
        <w:rPr>
          <w:rtl w:val="0"/>
        </w:rPr>
        <w:t xml:space="preserve">[ ] Catalytic</w:t>
      </w:r>
    </w:p>
    <w:p w:rsidR="00000000" w:rsidDel="00000000" w:rsidP="00000000" w:rsidRDefault="00000000" w:rsidRPr="00000000" w14:paraId="00000141">
      <w:pPr>
        <w:numPr>
          <w:ilvl w:val="0"/>
          <w:numId w:val="4"/>
        </w:numPr>
        <w:spacing w:after="200" w:line="240" w:lineRule="auto"/>
        <w:ind w:left="720" w:hanging="360"/>
      </w:pPr>
      <w:r w:rsidDel="00000000" w:rsidR="00000000" w:rsidRPr="00000000">
        <w:rPr>
          <w:rtl w:val="0"/>
        </w:rPr>
        <w:t xml:space="preserve">[ ] Supporting</w:t>
      </w:r>
    </w:p>
    <w:p w:rsidR="00000000" w:rsidDel="00000000" w:rsidP="00000000" w:rsidRDefault="00000000" w:rsidRPr="00000000" w14:paraId="00000142">
      <w:pPr>
        <w:pStyle w:val="Title"/>
        <w:numPr>
          <w:ilvl w:val="0"/>
          <w:numId w:val="6"/>
        </w:numPr>
        <w:spacing w:after="80" w:before="200" w:lineRule="auto"/>
        <w:ind w:left="720" w:hanging="360"/>
        <w:rPr>
          <w:b w:val="1"/>
          <w:bCs w:val="1"/>
          <w:color w:val="ff7602"/>
          <w:sz w:val="22"/>
          <w:szCs w:val="22"/>
        </w:rPr>
      </w:pPr>
      <w:bookmarkStart w:colFirst="0" w:colLast="0" w:name="_heading=h.1ohx9bc7qci8" w:id="32"/>
      <w:bookmarkEnd w:id="32"/>
      <w:r w:rsidDel="00000000" w:rsidR="00000000" w:rsidRPr="00000000">
        <w:rPr>
          <w:rtl w:val="0"/>
        </w:rPr>
        <w:t xml:space="preserve"> TRANSFERABILITY &amp; KEY LESSON</w:t>
      </w:r>
    </w:p>
    <w:p w:rsidR="00000000" w:rsidDel="00000000" w:rsidP="00000000" w:rsidRDefault="00000000" w:rsidRPr="00000000" w14:paraId="00000143">
      <w:pPr>
        <w:spacing w:after="240" w:before="240" w:line="240" w:lineRule="auto"/>
        <w:jc w:val="both"/>
        <w:rPr/>
      </w:pPr>
      <w:r w:rsidDel="00000000" w:rsidR="00000000" w:rsidRPr="00000000">
        <w:rPr>
          <w:b w:val="1"/>
          <w:bCs w:val="1"/>
          <w:rtl w:val="0"/>
        </w:rPr>
        <w:t xml:space="preserve">Where this model works best:</w:t>
      </w:r>
      <w:r w:rsidDel="00000000" w:rsidR="00000000" w:rsidRPr="00000000">
        <w:rPr>
          <w:rtl w:val="0"/>
        </w:rPr>
        <w:t xml:space="preserve"> Kismayo’s model is most transferable where there is available public land, strong government cooperation, and a functioning registration pathway. It is not a generic solution for all urban displacement settings, because much of its success depends on the state’s ability to donate clear land and complete statutory processes.</w:t>
      </w:r>
    </w:p>
    <w:p w:rsidR="00000000" w:rsidDel="00000000" w:rsidP="00000000" w:rsidRDefault="00000000" w:rsidRPr="00000000" w14:paraId="00000144">
      <w:pPr>
        <w:spacing w:after="240" w:before="240" w:line="240" w:lineRule="auto"/>
        <w:jc w:val="both"/>
        <w:rPr/>
      </w:pPr>
      <w:r w:rsidDel="00000000" w:rsidR="00000000" w:rsidRPr="00000000">
        <w:rPr>
          <w:b w:val="1"/>
          <w:bCs w:val="1"/>
          <w:rtl w:val="0"/>
        </w:rPr>
        <w:t xml:space="preserve">One key lesson for NRC programming: </w:t>
      </w:r>
      <w:r w:rsidDel="00000000" w:rsidR="00000000" w:rsidRPr="00000000">
        <w:rPr>
          <w:rtl w:val="0"/>
        </w:rPr>
        <w:t xml:space="preserve">The key lesson is that secure tenure and decent houses can solve the eviction problem without fully solving settlement viability. If further programming does not address service access, roads, schools, livelihoods, and full title issuance, even a strong HLP intervention can leave beneficiaries in a partially stabilised but still fragile settlement</w:t>
      </w:r>
    </w:p>
    <w:p w:rsidR="00000000" w:rsidDel="00000000" w:rsidP="00000000" w:rsidRDefault="00000000" w:rsidRPr="00000000" w14:paraId="00000145">
      <w:pPr>
        <w:pStyle w:val="Title"/>
        <w:spacing w:after="80" w:before="360" w:lineRule="auto"/>
        <w:ind w:left="0"/>
        <w:rPr/>
      </w:pPr>
      <w:bookmarkStart w:colFirst="0" w:colLast="0" w:name="_heading=h.gr82jwhfusea" w:id="33"/>
      <w:bookmarkEnd w:id="33"/>
      <w:r w:rsidDel="00000000" w:rsidR="00000000" w:rsidRPr="00000000">
        <w:rPr>
          <w:rtl w:val="0"/>
        </w:rPr>
        <w:t xml:space="preserve">EVIDENCE SOURCES</w:t>
      </w:r>
    </w:p>
    <w:p w:rsidR="00000000" w:rsidDel="00000000" w:rsidP="00000000" w:rsidRDefault="00000000" w:rsidRPr="00000000" w14:paraId="00000146">
      <w:pPr>
        <w:numPr>
          <w:ilvl w:val="0"/>
          <w:numId w:val="1"/>
        </w:numPr>
        <w:spacing w:after="0" w:before="240" w:line="240" w:lineRule="auto"/>
        <w:ind w:left="720" w:hanging="360"/>
      </w:pPr>
      <w:r w:rsidDel="00000000" w:rsidR="00000000" w:rsidRPr="00000000">
        <w:rPr>
          <w:rtl w:val="0"/>
        </w:rPr>
        <w:t xml:space="preserve">[X] KIIs</w:t>
      </w:r>
    </w:p>
    <w:p w:rsidR="00000000" w:rsidDel="00000000" w:rsidP="00000000" w:rsidRDefault="00000000" w:rsidRPr="00000000" w14:paraId="00000147">
      <w:pPr>
        <w:numPr>
          <w:ilvl w:val="0"/>
          <w:numId w:val="1"/>
        </w:numPr>
        <w:spacing w:after="0" w:line="240" w:lineRule="auto"/>
        <w:ind w:left="720" w:hanging="360"/>
      </w:pPr>
      <w:r w:rsidDel="00000000" w:rsidR="00000000" w:rsidRPr="00000000">
        <w:rPr>
          <w:rtl w:val="0"/>
        </w:rPr>
        <w:t xml:space="preserve">[X] FGDs</w:t>
      </w:r>
    </w:p>
    <w:p w:rsidR="00000000" w:rsidDel="00000000" w:rsidP="00000000" w:rsidRDefault="00000000" w:rsidRPr="00000000" w14:paraId="00000148">
      <w:pPr>
        <w:numPr>
          <w:ilvl w:val="0"/>
          <w:numId w:val="1"/>
        </w:numPr>
        <w:spacing w:after="0" w:line="240" w:lineRule="auto"/>
        <w:ind w:left="720" w:hanging="360"/>
      </w:pPr>
      <w:r w:rsidDel="00000000" w:rsidR="00000000" w:rsidRPr="00000000">
        <w:rPr>
          <w:rtl w:val="0"/>
        </w:rPr>
        <w:t xml:space="preserve">[X] Project documents</w:t>
      </w:r>
    </w:p>
    <w:p w:rsidR="00000000" w:rsidDel="00000000" w:rsidP="00000000" w:rsidRDefault="00000000" w:rsidRPr="00000000" w14:paraId="00000149">
      <w:pPr>
        <w:numPr>
          <w:ilvl w:val="0"/>
          <w:numId w:val="1"/>
        </w:numPr>
        <w:spacing w:after="0" w:line="240" w:lineRule="auto"/>
        <w:ind w:left="720" w:hanging="360"/>
      </w:pPr>
      <w:r w:rsidDel="00000000" w:rsidR="00000000" w:rsidRPr="00000000">
        <w:rPr>
          <w:rtl w:val="0"/>
        </w:rPr>
        <w:t xml:space="preserve">[ ] Observation</w:t>
      </w:r>
    </w:p>
    <w:p w:rsidR="00000000" w:rsidDel="00000000" w:rsidP="00000000" w:rsidRDefault="00000000" w:rsidRPr="00000000" w14:paraId="0000014A">
      <w:pPr>
        <w:numPr>
          <w:ilvl w:val="0"/>
          <w:numId w:val="1"/>
        </w:numPr>
        <w:spacing w:after="240" w:line="240" w:lineRule="auto"/>
        <w:ind w:left="720" w:hanging="360"/>
      </w:pPr>
      <w:r w:rsidDel="00000000" w:rsidR="00000000" w:rsidRPr="00000000">
        <w:rPr>
          <w:rtl w:val="0"/>
        </w:rPr>
        <w:t xml:space="preserve">[ ] Other:</w:t>
      </w:r>
    </w:p>
    <w:p w:rsidR="00000000" w:rsidDel="00000000" w:rsidP="00000000" w:rsidRDefault="00000000" w:rsidRPr="00000000" w14:paraId="0000014B">
      <w:pPr>
        <w:rPr>
          <w:rFonts w:ascii="Libre Franklin Medium" w:cs="Libre Franklin Medium" w:eastAsia="Libre Franklin Medium" w:hAnsi="Libre Franklin Medium"/>
          <w:smallCaps w:val="1"/>
        </w:rPr>
        <w:sectPr>
          <w:type w:val="nextPage"/>
          <w:pgSz w:h="16838" w:w="11906" w:orient="portrait"/>
          <w:pgMar w:bottom="1985" w:top="1701" w:left="1701" w:right="1701" w:header="709" w:footer="567"/>
        </w:sectPr>
      </w:pPr>
      <w:r w:rsidDel="00000000" w:rsidR="00000000" w:rsidRPr="00000000">
        <w:rPr>
          <w:rtl w:val="0"/>
        </w:rPr>
      </w:r>
    </w:p>
    <w:p w:rsidR="00000000" w:rsidDel="00000000" w:rsidP="00000000" w:rsidRDefault="00000000" w:rsidRPr="00000000" w14:paraId="0000014C">
      <w:pPr>
        <w:pStyle w:val="Heading1"/>
        <w:spacing w:after="0" w:lineRule="auto"/>
        <w:ind w:left="0"/>
        <w:rPr/>
      </w:pPr>
      <w:bookmarkStart w:colFirst="0" w:colLast="0" w:name="_heading=h.iseg2zgfovr3" w:id="34"/>
      <w:bookmarkEnd w:id="34"/>
      <w:r w:rsidDel="00000000" w:rsidR="00000000" w:rsidRPr="00000000">
        <w:rPr>
          <w:rtl w:val="0"/>
        </w:rPr>
        <w:t xml:space="preserve">CASE STUDY: MOGADISHU</w:t>
      </w:r>
    </w:p>
    <w:p w:rsidR="00000000" w:rsidDel="00000000" w:rsidP="00000000" w:rsidRDefault="00000000" w:rsidRPr="00000000" w14:paraId="0000014D">
      <w:pPr>
        <w:spacing w:after="240" w:before="240" w:lineRule="auto"/>
        <w:rPr/>
      </w:pPr>
      <w:r w:rsidDel="00000000" w:rsidR="00000000" w:rsidRPr="00000000">
        <w:rPr>
          <w:rtl w:val="0"/>
        </w:rPr>
        <w:t xml:space="preserve">This template is designed to answer one core question:</w:t>
      </w:r>
    </w:p>
    <w:p w:rsidR="00000000" w:rsidDel="00000000" w:rsidP="00000000" w:rsidRDefault="00000000" w:rsidRPr="00000000" w14:paraId="0000014E">
      <w:pPr>
        <w:spacing w:after="240" w:before="240" w:lineRule="auto"/>
        <w:rPr>
          <w:b w:val="1"/>
          <w:bCs w:val="1"/>
        </w:rPr>
      </w:pPr>
      <w:r w:rsidDel="00000000" w:rsidR="00000000" w:rsidRPr="00000000">
        <w:rPr>
          <w:b w:val="1"/>
          <w:bCs w:val="1"/>
          <w:rtl w:val="0"/>
        </w:rPr>
        <w:t xml:space="preserve">How and why did a specific HLP model produce (or fail to produce) durable tenure security outcomes in a particular city?</w:t>
      </w:r>
    </w:p>
    <w:p w:rsidR="00000000" w:rsidDel="00000000" w:rsidP="00000000" w:rsidRDefault="00000000" w:rsidRPr="00000000" w14:paraId="0000014F">
      <w:pPr>
        <w:spacing w:after="240" w:before="240" w:lineRule="auto"/>
        <w:rPr/>
      </w:pPr>
      <w:r w:rsidDel="00000000" w:rsidR="00000000" w:rsidRPr="00000000">
        <w:rPr>
          <w:rtl w:val="0"/>
        </w:rPr>
        <w:t xml:space="preserve">The guide below will be used to develop a snapshot analytical narrative of the performance of the model applied in each city. </w:t>
      </w:r>
    </w:p>
    <w:sdt>
      <w:sdtPr>
        <w:lock w:val="contentLocked"/>
        <w:id w:val="-255337510"/>
        <w:tag w:val="goog_rdk_3"/>
      </w:sdtPr>
      <w:sdtContent>
        <w:tbl>
          <w:tblPr>
            <w:tblStyle w:val="Table12"/>
            <w:tblW w:w="8720.0" w:type="dxa"/>
            <w:jc w:val="left"/>
            <w:tblInd w:w="-108.0" w:type="dxa"/>
            <w:tblBorders>
              <w:top w:color="ffc899" w:space="0" w:sz="4" w:val="single"/>
              <w:left w:color="ffc899" w:space="0" w:sz="4" w:val="single"/>
              <w:bottom w:color="ffc899" w:space="0" w:sz="4" w:val="single"/>
              <w:right w:color="ffc899" w:space="0" w:sz="4" w:val="single"/>
              <w:insideH w:color="ffc899" w:space="0" w:sz="4" w:val="single"/>
              <w:insideV w:color="ffc899" w:space="0" w:sz="4" w:val="single"/>
            </w:tblBorders>
            <w:tblLayout w:type="fixed"/>
            <w:tblLook w:val="04A0"/>
          </w:tblPr>
          <w:tblGrid>
            <w:gridCol w:w="4360"/>
            <w:gridCol w:w="4360"/>
            <w:tblGridChange w:id="0">
              <w:tblGrid>
                <w:gridCol w:w="4360"/>
                <w:gridCol w:w="4360"/>
              </w:tblGrid>
            </w:tblGridChange>
          </w:tblGrid>
          <w:tr>
            <w:trPr>
              <w:cantSplit w:val="0"/>
              <w:tblHeader w:val="0"/>
            </w:trPr>
            <w:tc>
              <w:tcPr/>
              <w:p w:rsidR="00000000" w:rsidDel="00000000" w:rsidP="00000000" w:rsidRDefault="00000000" w:rsidRPr="00000000" w14:paraId="00000150">
                <w:pPr>
                  <w:rPr/>
                </w:pPr>
                <w:r w:rsidDel="00000000" w:rsidR="00000000" w:rsidRPr="00000000">
                  <w:rPr>
                    <w:rtl w:val="0"/>
                  </w:rPr>
                  <w:t xml:space="preserve">City</w:t>
                </w:r>
              </w:p>
            </w:tc>
            <w:tc>
              <w:tcPr/>
              <w:p w:rsidR="00000000" w:rsidDel="00000000" w:rsidP="00000000" w:rsidRDefault="00000000" w:rsidRPr="00000000" w14:paraId="00000151">
                <w:pPr>
                  <w:rPr>
                    <w:b w:val="0"/>
                    <w:bCs w:val="0"/>
                  </w:rPr>
                </w:pPr>
                <w:r w:rsidDel="00000000" w:rsidR="00000000" w:rsidRPr="00000000">
                  <w:rPr>
                    <w:b w:val="0"/>
                    <w:bCs w:val="0"/>
                    <w:rtl w:val="0"/>
                  </w:rPr>
                  <w:t xml:space="preserve">Mogadishu</w:t>
                </w:r>
              </w:p>
            </w:tc>
          </w:tr>
          <w:tr>
            <w:trPr>
              <w:cantSplit w:val="0"/>
              <w:tblHeader w:val="0"/>
            </w:trPr>
            <w:tc>
              <w:tcPr/>
              <w:p w:rsidR="00000000" w:rsidDel="00000000" w:rsidP="00000000" w:rsidRDefault="00000000" w:rsidRPr="00000000" w14:paraId="00000152">
                <w:pPr>
                  <w:rPr/>
                </w:pPr>
                <w:r w:rsidDel="00000000" w:rsidR="00000000" w:rsidRPr="00000000">
                  <w:rPr>
                    <w:rtl w:val="0"/>
                  </w:rPr>
                  <w:t xml:space="preserve">Settlement</w:t>
                </w:r>
              </w:p>
            </w:tc>
            <w:tc>
              <w:tcPr/>
              <w:p w:rsidR="00000000" w:rsidDel="00000000" w:rsidP="00000000" w:rsidRDefault="00000000" w:rsidRPr="00000000" w14:paraId="00000153">
                <w:pPr>
                  <w:spacing w:after="240" w:before="240" w:lineRule="auto"/>
                  <w:rPr/>
                </w:pPr>
                <w:r w:rsidDel="00000000" w:rsidR="00000000" w:rsidRPr="00000000">
                  <w:rPr>
                    <w:rtl w:val="0"/>
                  </w:rPr>
                  <w:t xml:space="preserve">Multiple IDP camps and NRC-supported rental locations in Deynile, Garasbaaley, Kahda and surrounding Mogadishu periphery</w:t>
                </w:r>
              </w:p>
            </w:tc>
          </w:tr>
          <w:tr>
            <w:trPr>
              <w:cantSplit w:val="0"/>
              <w:tblHeader w:val="0"/>
            </w:trPr>
            <w:tc>
              <w:tcPr/>
              <w:p w:rsidR="00000000" w:rsidDel="00000000" w:rsidP="00000000" w:rsidRDefault="00000000" w:rsidRPr="00000000" w14:paraId="00000154">
                <w:pPr>
                  <w:rPr/>
                </w:pPr>
                <w:r w:rsidDel="00000000" w:rsidR="00000000" w:rsidRPr="00000000">
                  <w:rPr>
                    <w:rtl w:val="0"/>
                  </w:rPr>
                  <w:t xml:space="preserve">HLP model</w:t>
                </w:r>
              </w:p>
            </w:tc>
            <w:tc>
              <w:tcPr/>
              <w:p w:rsidR="00000000" w:rsidDel="00000000" w:rsidP="00000000" w:rsidRDefault="00000000" w:rsidRPr="00000000" w14:paraId="00000155">
                <w:pPr>
                  <w:spacing w:after="240" w:before="240" w:lineRule="auto"/>
                  <w:rPr/>
                </w:pPr>
                <w:r w:rsidDel="00000000" w:rsidR="00000000" w:rsidRPr="00000000">
                  <w:rPr>
                    <w:rtl w:val="0"/>
                  </w:rPr>
                  <w:t xml:space="preserve">Integrated Rental Solutions / rental subsidy model on privately owned land and houses, using written tenancy agreements, notary validation, district involvement, mediation, and phased rent support</w:t>
                </w:r>
              </w:p>
            </w:tc>
          </w:tr>
          <w:tr>
            <w:trPr>
              <w:cantSplit w:val="0"/>
              <w:tblHeader w:val="0"/>
            </w:trPr>
            <w:tc>
              <w:tcPr/>
              <w:p w:rsidR="00000000" w:rsidDel="00000000" w:rsidP="00000000" w:rsidRDefault="00000000" w:rsidRPr="00000000" w14:paraId="00000156">
                <w:pPr>
                  <w:rPr/>
                </w:pPr>
                <w:r w:rsidDel="00000000" w:rsidR="00000000" w:rsidRPr="00000000">
                  <w:rPr>
                    <w:rtl w:val="0"/>
                  </w:rPr>
                  <w:t xml:space="preserve">Implementation period</w:t>
                </w:r>
              </w:p>
            </w:tc>
            <w:tc>
              <w:tcPr/>
              <w:p w:rsidR="00000000" w:rsidDel="00000000" w:rsidP="00000000" w:rsidRDefault="00000000" w:rsidRPr="00000000" w14:paraId="00000157">
                <w:pPr>
                  <w:spacing w:after="240" w:before="240" w:lineRule="auto"/>
                  <w:rPr/>
                </w:pPr>
                <w:r w:rsidDel="00000000" w:rsidR="00000000" w:rsidRPr="00000000">
                  <w:rPr>
                    <w:rtl w:val="0"/>
                  </w:rPr>
                  <w:t xml:space="preserve">Approx. 2018–2026 for the broader Mogadishu model; current beneficiary cohorts discussed in transcripts received 15 months rental support plus 6 months tapered/top-up support </w:t>
                </w:r>
              </w:p>
            </w:tc>
          </w:tr>
          <w:tr>
            <w:trPr>
              <w:cantSplit w:val="0"/>
              <w:tblHeader w:val="0"/>
            </w:trPr>
            <w:tc>
              <w:tcPr/>
              <w:p w:rsidR="00000000" w:rsidDel="00000000" w:rsidP="00000000" w:rsidRDefault="00000000" w:rsidRPr="00000000" w14:paraId="00000158">
                <w:pPr>
                  <w:rPr/>
                </w:pPr>
                <w:r w:rsidDel="00000000" w:rsidR="00000000" w:rsidRPr="00000000">
                  <w:rPr>
                    <w:rtl w:val="0"/>
                  </w:rPr>
                  <w:t xml:space="preserve">Approx. households supported</w:t>
                </w:r>
              </w:p>
            </w:tc>
            <w:tc>
              <w:tcPr/>
              <w:p w:rsidR="00000000" w:rsidDel="00000000" w:rsidP="00000000" w:rsidRDefault="00000000" w:rsidRPr="00000000" w14:paraId="00000159">
                <w:pPr>
                  <w:spacing w:after="240" w:before="240" w:lineRule="auto"/>
                  <w:ind w:right="600"/>
                  <w:rPr>
                    <w:highlight w:val="yellow"/>
                  </w:rPr>
                </w:pPr>
                <w:r w:rsidDel="00000000" w:rsidR="00000000" w:rsidRPr="00000000">
                  <w:rPr>
                    <w:rtl w:val="0"/>
                  </w:rPr>
                  <w:t xml:space="preserve">Approximately 500 households were supported under a defined IRS rental subsidy cohort (KII evidence), with site-level FGDs indicating settlement sizes of roughly 150–196 households. Overall coverage remains limited relative to the scale of need in Mogadishu.</w:t>
                </w:r>
                <w:r w:rsidDel="00000000" w:rsidR="00000000" w:rsidRPr="00000000">
                  <w:rPr>
                    <w:rtl w:val="0"/>
                  </w:rPr>
                </w:r>
              </w:p>
            </w:tc>
          </w:tr>
          <w:tr>
            <w:trPr>
              <w:cantSplit w:val="0"/>
              <w:tblHeader w:val="0"/>
            </w:trPr>
            <w:tc>
              <w:tcPr/>
              <w:p w:rsidR="00000000" w:rsidDel="00000000" w:rsidP="00000000" w:rsidRDefault="00000000" w:rsidRPr="00000000" w14:paraId="0000015A">
                <w:pPr>
                  <w:rPr/>
                </w:pPr>
                <w:r w:rsidDel="00000000" w:rsidR="00000000" w:rsidRPr="00000000">
                  <w:rPr>
                    <w:rtl w:val="0"/>
                  </w:rPr>
                  <w:t xml:space="preserve">Primary land status</w:t>
                </w:r>
              </w:p>
            </w:tc>
            <w:tc>
              <w:tcPr/>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rPr/>
                </w:pPr>
                <w:r w:rsidDel="00000000" w:rsidR="00000000" w:rsidRPr="00000000">
                  <w:rPr>
                    <w:rtl w:val="0"/>
                  </w:rPr>
                  <w:t xml:space="preserve">[ ] Public [X] Private [ ] Customary [ ] Mixed</w:t>
                </w:r>
              </w:p>
              <w:p w:rsidR="00000000" w:rsidDel="00000000" w:rsidP="00000000" w:rsidRDefault="00000000" w:rsidRPr="00000000" w14:paraId="0000015D">
                <w:pPr>
                  <w:rPr/>
                </w:pPr>
                <w:r w:rsidDel="00000000" w:rsidR="00000000" w:rsidRPr="00000000">
                  <w:rPr>
                    <w:rtl w:val="0"/>
                  </w:rPr>
                </w:r>
              </w:p>
            </w:tc>
          </w:tr>
          <w:tr>
            <w:trPr>
              <w:cantSplit w:val="0"/>
              <w:tblHeader w:val="0"/>
            </w:trPr>
            <w:tc>
              <w:tcPr/>
              <w:p w:rsidR="00000000" w:rsidDel="00000000" w:rsidP="00000000" w:rsidRDefault="00000000" w:rsidRPr="00000000" w14:paraId="0000015E">
                <w:pPr>
                  <w:rPr/>
                </w:pPr>
                <w:r w:rsidDel="00000000" w:rsidR="00000000" w:rsidRPr="00000000">
                  <w:rPr>
                    <w:rtl w:val="0"/>
                  </w:rPr>
                  <w:t xml:space="preserve">Key stakeholders</w:t>
                </w:r>
              </w:p>
            </w:tc>
            <w:tc>
              <w:tcPr/>
              <w:p w:rsidR="00000000" w:rsidDel="00000000" w:rsidP="00000000" w:rsidRDefault="00000000" w:rsidRPr="00000000" w14:paraId="0000015F">
                <w:pPr>
                  <w:rPr/>
                </w:pPr>
                <w:r w:rsidDel="00000000" w:rsidR="00000000" w:rsidRPr="00000000">
                  <w:rPr>
                    <w:rtl w:val="0"/>
                  </w:rPr>
                  <w:t xml:space="preserve">[X] NRC [X] Municipality [X] Customary authorities [X] Community [X] Other: landlords / caretakers / notary / dispute committees</w:t>
                </w:r>
              </w:p>
              <w:p w:rsidR="00000000" w:rsidDel="00000000" w:rsidP="00000000" w:rsidRDefault="00000000" w:rsidRPr="00000000" w14:paraId="00000160">
                <w:pPr>
                  <w:rPr/>
                </w:pPr>
                <w:r w:rsidDel="00000000" w:rsidR="00000000" w:rsidRPr="00000000">
                  <w:rPr>
                    <w:rtl w:val="0"/>
                  </w:rPr>
                  <w:t xml:space="preserve"> </w:t>
                </w:r>
              </w:p>
            </w:tc>
          </w:tr>
        </w:tbl>
      </w:sdtContent>
    </w:sdt>
    <w:p w:rsidR="00000000" w:rsidDel="00000000" w:rsidP="00000000" w:rsidRDefault="00000000" w:rsidRPr="00000000" w14:paraId="00000161">
      <w:pPr>
        <w:pStyle w:val="Title"/>
        <w:spacing w:before="480" w:lineRule="auto"/>
        <w:ind w:left="0"/>
        <w:rPr/>
      </w:pPr>
      <w:bookmarkStart w:colFirst="0" w:colLast="0" w:name="_heading=h.8paky6i0b6uq" w:id="35"/>
      <w:bookmarkEnd w:id="35"/>
      <w:r w:rsidDel="00000000" w:rsidR="00000000" w:rsidRPr="00000000">
        <w:rPr>
          <w:rtl w:val="0"/>
        </w:rPr>
        <w:t xml:space="preserve">CASE STUDY GUIDE</w:t>
      </w:r>
    </w:p>
    <w:p w:rsidR="00000000" w:rsidDel="00000000" w:rsidP="00000000" w:rsidRDefault="00000000" w:rsidRPr="00000000" w14:paraId="00000162">
      <w:pPr>
        <w:pStyle w:val="Title"/>
        <w:numPr>
          <w:ilvl w:val="0"/>
          <w:numId w:val="6"/>
        </w:numPr>
        <w:spacing w:after="80" w:before="360" w:lineRule="auto"/>
        <w:ind w:left="720" w:hanging="360"/>
        <w:rPr>
          <w:b w:val="1"/>
          <w:bCs w:val="1"/>
          <w:color w:val="ff7602"/>
          <w:sz w:val="22"/>
          <w:szCs w:val="22"/>
        </w:rPr>
      </w:pPr>
      <w:bookmarkStart w:colFirst="0" w:colLast="0" w:name="_heading=h.fx4xkfd1oa6x" w:id="36"/>
      <w:bookmarkEnd w:id="36"/>
      <w:r w:rsidDel="00000000" w:rsidR="00000000" w:rsidRPr="00000000">
        <w:rPr>
          <w:rtl w:val="0"/>
        </w:rPr>
        <w:t xml:space="preserve"> PROBLEM CONTEXT (PRE-NRC)</w:t>
      </w:r>
    </w:p>
    <w:p w:rsidR="00000000" w:rsidDel="00000000" w:rsidP="00000000" w:rsidRDefault="00000000" w:rsidRPr="00000000" w14:paraId="00000163">
      <w:pPr>
        <w:spacing w:after="240" w:before="240" w:line="240" w:lineRule="auto"/>
        <w:rPr/>
      </w:pPr>
      <w:r w:rsidDel="00000000" w:rsidR="00000000" w:rsidRPr="00000000">
        <w:rPr>
          <w:rtl w:val="0"/>
        </w:rPr>
        <w:t xml:space="preserve">Key land/housing problems:</w:t>
      </w:r>
    </w:p>
    <w:p w:rsidR="00000000" w:rsidDel="00000000" w:rsidP="00000000" w:rsidRDefault="00000000" w:rsidRPr="00000000" w14:paraId="00000164">
      <w:pPr>
        <w:numPr>
          <w:ilvl w:val="0"/>
          <w:numId w:val="5"/>
        </w:numPr>
        <w:spacing w:after="0" w:before="240" w:line="240" w:lineRule="auto"/>
        <w:ind w:left="720" w:hanging="360"/>
      </w:pPr>
      <w:r w:rsidDel="00000000" w:rsidR="00000000" w:rsidRPr="00000000">
        <w:rPr>
          <w:rtl w:val="0"/>
        </w:rPr>
        <w:t xml:space="preserve">[X] High eviction risk</w:t>
      </w:r>
    </w:p>
    <w:p w:rsidR="00000000" w:rsidDel="00000000" w:rsidP="00000000" w:rsidRDefault="00000000" w:rsidRPr="00000000" w14:paraId="00000165">
      <w:pPr>
        <w:numPr>
          <w:ilvl w:val="0"/>
          <w:numId w:val="5"/>
        </w:numPr>
        <w:spacing w:after="0" w:line="240" w:lineRule="auto"/>
        <w:ind w:left="720" w:hanging="360"/>
      </w:pPr>
      <w:r w:rsidDel="00000000" w:rsidR="00000000" w:rsidRPr="00000000">
        <w:rPr>
          <w:rtl w:val="0"/>
        </w:rPr>
        <w:t xml:space="preserve">[X] No documentation</w:t>
      </w:r>
    </w:p>
    <w:p w:rsidR="00000000" w:rsidDel="00000000" w:rsidP="00000000" w:rsidRDefault="00000000" w:rsidRPr="00000000" w14:paraId="00000166">
      <w:pPr>
        <w:numPr>
          <w:ilvl w:val="0"/>
          <w:numId w:val="5"/>
        </w:numPr>
        <w:spacing w:after="0" w:line="240" w:lineRule="auto"/>
        <w:ind w:left="720" w:hanging="360"/>
      </w:pPr>
      <w:r w:rsidDel="00000000" w:rsidR="00000000" w:rsidRPr="00000000">
        <w:rPr>
          <w:rtl w:val="0"/>
        </w:rPr>
        <w:t xml:space="preserve">[X] Repeated displacement</w:t>
      </w:r>
    </w:p>
    <w:p w:rsidR="00000000" w:rsidDel="00000000" w:rsidP="00000000" w:rsidRDefault="00000000" w:rsidRPr="00000000" w14:paraId="00000167">
      <w:pPr>
        <w:numPr>
          <w:ilvl w:val="0"/>
          <w:numId w:val="5"/>
        </w:numPr>
        <w:spacing w:after="0" w:line="240" w:lineRule="auto"/>
        <w:ind w:left="720" w:hanging="360"/>
      </w:pPr>
      <w:r w:rsidDel="00000000" w:rsidR="00000000" w:rsidRPr="00000000">
        <w:rPr>
          <w:rtl w:val="0"/>
        </w:rPr>
        <w:t xml:space="preserve">[X] Land disputes</w:t>
      </w:r>
    </w:p>
    <w:p w:rsidR="00000000" w:rsidDel="00000000" w:rsidP="00000000" w:rsidRDefault="00000000" w:rsidRPr="00000000" w14:paraId="00000168">
      <w:pPr>
        <w:numPr>
          <w:ilvl w:val="0"/>
          <w:numId w:val="5"/>
        </w:numPr>
        <w:spacing w:after="0" w:line="240" w:lineRule="auto"/>
        <w:ind w:left="720" w:hanging="360"/>
      </w:pPr>
      <w:r w:rsidDel="00000000" w:rsidR="00000000" w:rsidRPr="00000000">
        <w:rPr>
          <w:rtl w:val="0"/>
        </w:rPr>
        <w:t xml:space="preserve">[X] Gender-specific barriers</w:t>
      </w:r>
    </w:p>
    <w:p w:rsidR="00000000" w:rsidDel="00000000" w:rsidP="00000000" w:rsidRDefault="00000000" w:rsidRPr="00000000" w14:paraId="00000169">
      <w:pPr>
        <w:numPr>
          <w:ilvl w:val="0"/>
          <w:numId w:val="5"/>
        </w:numPr>
        <w:spacing w:after="200" w:line="240" w:lineRule="auto"/>
        <w:ind w:left="720" w:hanging="360"/>
      </w:pPr>
      <w:r w:rsidDel="00000000" w:rsidR="00000000" w:rsidRPr="00000000">
        <w:rPr>
          <w:rtl w:val="0"/>
        </w:rPr>
        <w:t xml:space="preserve">[X] Other: weak makeshift shelters, rent insecurity, theft, GBV risks,  lack of basic services </w:t>
      </w:r>
    </w:p>
    <w:p w:rsidR="00000000" w:rsidDel="00000000" w:rsidP="00000000" w:rsidRDefault="00000000" w:rsidRPr="00000000" w14:paraId="0000016A">
      <w:pPr>
        <w:spacing w:after="240" w:before="240" w:line="240" w:lineRule="auto"/>
        <w:jc w:val="both"/>
        <w:rPr/>
      </w:pPr>
      <w:r w:rsidDel="00000000" w:rsidR="00000000" w:rsidRPr="00000000">
        <w:rPr>
          <w:rtl w:val="0"/>
        </w:rPr>
        <w:t xml:space="preserve">Before NRC’s intervention, IDP households in Mogadishu experienced extreme tenure insecurity characterised by repeated displacement, lack of formal agreements, and exposure to arbitrary eviction by landowners or competing claimants. Many participants described moving multiple times - sometimes up to seven times - due to eviction, conflict, or environmental shocks. Housing conditions were highly precarious, with makeshift shelters made of plastic and sticks that could not withstand rain or heat. Women and vulnerable groups faced heightened risks, including theft, harassment, and attacks due to lack of lockable structures and safe infrastructure. Land disputes were common, often arising from unclear ownership or rising land values, while access to basic services such as water, sanitation, and health care was extremely limited.</w:t>
      </w:r>
    </w:p>
    <w:p w:rsidR="00000000" w:rsidDel="00000000" w:rsidP="00000000" w:rsidRDefault="00000000" w:rsidRPr="00000000" w14:paraId="0000016B">
      <w:pPr>
        <w:pStyle w:val="Title"/>
        <w:numPr>
          <w:ilvl w:val="0"/>
          <w:numId w:val="6"/>
        </w:numPr>
        <w:spacing w:after="80" w:before="200" w:lineRule="auto"/>
        <w:ind w:left="720" w:hanging="360"/>
        <w:rPr>
          <w:b w:val="1"/>
          <w:bCs w:val="1"/>
          <w:color w:val="ff7602"/>
          <w:sz w:val="22"/>
          <w:szCs w:val="22"/>
        </w:rPr>
      </w:pPr>
      <w:bookmarkStart w:colFirst="0" w:colLast="0" w:name="_heading=h.6aoogp1u3niv" w:id="37"/>
      <w:bookmarkEnd w:id="37"/>
      <w:r w:rsidDel="00000000" w:rsidR="00000000" w:rsidRPr="00000000">
        <w:rPr>
          <w:rtl w:val="0"/>
        </w:rPr>
        <w:t xml:space="preserve"> NRC INTERVENTION &amp; MECHANISM</w:t>
      </w:r>
    </w:p>
    <w:p w:rsidR="00000000" w:rsidDel="00000000" w:rsidP="00000000" w:rsidRDefault="00000000" w:rsidRPr="00000000" w14:paraId="0000016C">
      <w:pPr>
        <w:spacing w:after="240" w:before="240" w:line="240" w:lineRule="auto"/>
        <w:rPr/>
      </w:pPr>
      <w:r w:rsidDel="00000000" w:rsidR="00000000" w:rsidRPr="00000000">
        <w:rPr>
          <w:rtl w:val="0"/>
        </w:rPr>
        <w:t xml:space="preserve">What NRC did (core elements):</w:t>
      </w:r>
    </w:p>
    <w:p w:rsidR="00000000" w:rsidDel="00000000" w:rsidP="00000000" w:rsidRDefault="00000000" w:rsidRPr="00000000" w14:paraId="0000016D">
      <w:pPr>
        <w:numPr>
          <w:ilvl w:val="0"/>
          <w:numId w:val="2"/>
        </w:numPr>
        <w:spacing w:after="0" w:before="240" w:line="240" w:lineRule="auto"/>
        <w:ind w:left="720" w:hanging="360"/>
      </w:pPr>
      <w:r w:rsidDel="00000000" w:rsidR="00000000" w:rsidRPr="00000000">
        <w:rPr>
          <w:rtl w:val="0"/>
        </w:rPr>
        <w:t xml:space="preserve">[ ] Land access / allocation</w:t>
      </w:r>
    </w:p>
    <w:p w:rsidR="00000000" w:rsidDel="00000000" w:rsidP="00000000" w:rsidRDefault="00000000" w:rsidRPr="00000000" w14:paraId="0000016E">
      <w:pPr>
        <w:numPr>
          <w:ilvl w:val="0"/>
          <w:numId w:val="2"/>
        </w:numPr>
        <w:spacing w:after="0" w:line="240" w:lineRule="auto"/>
        <w:ind w:left="720" w:hanging="360"/>
      </w:pPr>
      <w:r w:rsidDel="00000000" w:rsidR="00000000" w:rsidRPr="00000000">
        <w:rPr>
          <w:rtl w:val="0"/>
        </w:rPr>
        <w:t xml:space="preserve">[X] Documentation / agreements</w:t>
      </w:r>
    </w:p>
    <w:p w:rsidR="00000000" w:rsidDel="00000000" w:rsidP="00000000" w:rsidRDefault="00000000" w:rsidRPr="00000000" w14:paraId="0000016F">
      <w:pPr>
        <w:numPr>
          <w:ilvl w:val="0"/>
          <w:numId w:val="2"/>
        </w:numPr>
        <w:spacing w:after="0" w:line="240" w:lineRule="auto"/>
        <w:ind w:left="720" w:hanging="360"/>
      </w:pPr>
      <w:r w:rsidDel="00000000" w:rsidR="00000000" w:rsidRPr="00000000">
        <w:rPr>
          <w:rtl w:val="0"/>
        </w:rPr>
        <w:t xml:space="preserve">[X] Mediation / negotiation</w:t>
      </w:r>
    </w:p>
    <w:p w:rsidR="00000000" w:rsidDel="00000000" w:rsidP="00000000" w:rsidRDefault="00000000" w:rsidRPr="00000000" w14:paraId="00000170">
      <w:pPr>
        <w:numPr>
          <w:ilvl w:val="0"/>
          <w:numId w:val="2"/>
        </w:numPr>
        <w:spacing w:after="0" w:line="240" w:lineRule="auto"/>
        <w:ind w:left="720" w:hanging="360"/>
      </w:pPr>
      <w:r w:rsidDel="00000000" w:rsidR="00000000" w:rsidRPr="00000000">
        <w:rPr>
          <w:rtl w:val="0"/>
        </w:rPr>
        <w:t xml:space="preserve">[X] Eviction prevention</w:t>
      </w:r>
    </w:p>
    <w:p w:rsidR="00000000" w:rsidDel="00000000" w:rsidP="00000000" w:rsidRDefault="00000000" w:rsidRPr="00000000" w14:paraId="00000171">
      <w:pPr>
        <w:numPr>
          <w:ilvl w:val="0"/>
          <w:numId w:val="2"/>
        </w:numPr>
        <w:spacing w:after="0" w:line="240" w:lineRule="auto"/>
        <w:ind w:left="720" w:hanging="360"/>
      </w:pPr>
      <w:r w:rsidDel="00000000" w:rsidR="00000000" w:rsidRPr="00000000">
        <w:rPr>
          <w:rtl w:val="0"/>
        </w:rPr>
        <w:t xml:space="preserve">[X] Shelter linked to tenure</w:t>
      </w:r>
    </w:p>
    <w:p w:rsidR="00000000" w:rsidDel="00000000" w:rsidP="00000000" w:rsidRDefault="00000000" w:rsidRPr="00000000" w14:paraId="00000172">
      <w:pPr>
        <w:numPr>
          <w:ilvl w:val="0"/>
          <w:numId w:val="2"/>
        </w:numPr>
        <w:spacing w:after="200" w:line="240" w:lineRule="auto"/>
        <w:ind w:left="720" w:hanging="360"/>
      </w:pPr>
      <w:r w:rsidDel="00000000" w:rsidR="00000000" w:rsidRPr="00000000">
        <w:rPr>
          <w:rtl w:val="0"/>
        </w:rPr>
        <w:t xml:space="preserve">[X] Other: rental subsidy, relocation cash, utility support, seed capital / livelihood support, dispute resolution committee training</w:t>
      </w:r>
    </w:p>
    <w:p w:rsidR="00000000" w:rsidDel="00000000" w:rsidP="00000000" w:rsidRDefault="00000000" w:rsidRPr="00000000" w14:paraId="00000173">
      <w:pPr>
        <w:spacing w:after="240" w:before="240" w:line="240" w:lineRule="auto"/>
        <w:jc w:val="both"/>
        <w:rPr/>
      </w:pPr>
      <w:r w:rsidDel="00000000" w:rsidR="00000000" w:rsidRPr="00000000">
        <w:rPr>
          <w:rtl w:val="0"/>
        </w:rPr>
        <w:t xml:space="preserve">NRC’s intervention in Mogadishu primarily operated through a rental subsidy model combined with formalised tenancy agreements and mediation. NRC facilitated agreements between tenants and private landlords, often involving district authorities and notaries to strengthen legitimacy and reduce eviction risk. Beneficiaries received a package of support including rental payments (typically 15 months plus a 6-month extension), cash for relocation, utility support, and in some cases livelihood grants or training. NRC also played a coordination role, linking communities with authorities and establishing dispute resolution committees. The intervention did not focus on land allocation, but rather on securing tenure within the private rental market through structured agreements and institutional support.</w:t>
      </w:r>
    </w:p>
    <w:p w:rsidR="00000000" w:rsidDel="00000000" w:rsidP="00000000" w:rsidRDefault="00000000" w:rsidRPr="00000000" w14:paraId="00000174">
      <w:pPr>
        <w:spacing w:after="200" w:line="240" w:lineRule="auto"/>
        <w:rPr/>
      </w:pPr>
      <w:r w:rsidDel="00000000" w:rsidR="00000000" w:rsidRPr="00000000">
        <w:rPr>
          <w:rtl w:val="0"/>
        </w:rPr>
      </w:r>
    </w:p>
    <w:p w:rsidR="00000000" w:rsidDel="00000000" w:rsidP="00000000" w:rsidRDefault="00000000" w:rsidRPr="00000000" w14:paraId="00000175">
      <w:pPr>
        <w:pStyle w:val="Title"/>
        <w:numPr>
          <w:ilvl w:val="0"/>
          <w:numId w:val="6"/>
        </w:numPr>
        <w:spacing w:after="80" w:before="200" w:lineRule="auto"/>
        <w:ind w:left="720" w:hanging="360"/>
        <w:rPr>
          <w:b w:val="1"/>
          <w:bCs w:val="1"/>
          <w:color w:val="ff7602"/>
          <w:sz w:val="22"/>
          <w:szCs w:val="22"/>
        </w:rPr>
      </w:pPr>
      <w:bookmarkStart w:colFirst="0" w:colLast="0" w:name="_heading=h.9uilefu10qag" w:id="38"/>
      <w:bookmarkEnd w:id="38"/>
      <w:r w:rsidDel="00000000" w:rsidR="00000000" w:rsidRPr="00000000">
        <w:rPr>
          <w:rtl w:val="0"/>
        </w:rPr>
        <w:t xml:space="preserve">OUTCOMES ACHIEVED</w:t>
      </w:r>
    </w:p>
    <w:sdt>
      <w:sdtPr>
        <w:lock w:val="contentLocked"/>
        <w:id w:val="673682859"/>
        <w:tag w:val="goog_rdk_4"/>
      </w:sdtPr>
      <w:sdtContent>
        <w:tbl>
          <w:tblPr>
            <w:tblStyle w:val="Table13"/>
            <w:tblW w:w="96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85"/>
            <w:gridCol w:w="3855"/>
            <w:gridCol w:w="3420"/>
            <w:tblGridChange w:id="0">
              <w:tblGrid>
                <w:gridCol w:w="2385"/>
                <w:gridCol w:w="3855"/>
                <w:gridCol w:w="3420"/>
              </w:tblGrid>
            </w:tblGridChange>
          </w:tblGrid>
          <w:tr>
            <w:trPr>
              <w:cantSplit w:val="0"/>
              <w:trHeight w:val="515" w:hRule="atLeast"/>
              <w:tblHeader w:val="0"/>
            </w:trPr>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76">
                <w:pPr>
                  <w:spacing w:after="0" w:line="240" w:lineRule="auto"/>
                  <w:jc w:val="center"/>
                  <w:rPr/>
                </w:pPr>
                <w:r w:rsidDel="00000000" w:rsidR="00000000" w:rsidRPr="00000000">
                  <w:rPr>
                    <w:b w:val="1"/>
                    <w:bCs w:val="1"/>
                    <w:rtl w:val="0"/>
                  </w:rPr>
                  <w:t xml:space="preserve">Outcome area</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77">
                <w:pPr>
                  <w:spacing w:after="0" w:line="240" w:lineRule="auto"/>
                  <w:jc w:val="center"/>
                  <w:rPr/>
                </w:pPr>
                <w:r w:rsidDel="00000000" w:rsidR="00000000" w:rsidRPr="00000000">
                  <w:rPr>
                    <w:b w:val="1"/>
                    <w:bCs w:val="1"/>
                    <w:rtl w:val="0"/>
                  </w:rPr>
                  <w:t xml:space="preserve">Assessment</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78">
                <w:pPr>
                  <w:spacing w:after="0" w:line="240" w:lineRule="auto"/>
                  <w:jc w:val="center"/>
                  <w:rPr/>
                </w:pPr>
                <w:r w:rsidDel="00000000" w:rsidR="00000000" w:rsidRPr="00000000">
                  <w:rPr>
                    <w:b w:val="1"/>
                    <w:bCs w:val="1"/>
                    <w:rtl w:val="0"/>
                  </w:rPr>
                  <w:t xml:space="preserve">Evidence</w:t>
                </w:r>
                <w:r w:rsidDel="00000000" w:rsidR="00000000" w:rsidRPr="00000000">
                  <w:rPr>
                    <w:rtl w:val="0"/>
                  </w:rPr>
                </w:r>
              </w:p>
            </w:tc>
          </w:tr>
          <w:tr>
            <w:trPr>
              <w:cantSplit w:val="0"/>
              <w:trHeight w:val="515" w:hRule="atLeast"/>
              <w:tblHeader w:val="0"/>
            </w:trPr>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79">
                <w:pPr>
                  <w:spacing w:after="0" w:line="240" w:lineRule="auto"/>
                  <w:rPr/>
                </w:pPr>
                <w:r w:rsidDel="00000000" w:rsidR="00000000" w:rsidRPr="00000000">
                  <w:rPr>
                    <w:b w:val="1"/>
                    <w:bCs w:val="1"/>
                    <w:rtl w:val="0"/>
                  </w:rPr>
                  <w:t xml:space="preserve">Tenure security</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7A">
                <w:pPr>
                  <w:spacing w:after="0" w:line="240" w:lineRule="auto"/>
                  <w:rPr/>
                </w:pPr>
                <w:r w:rsidDel="00000000" w:rsidR="00000000" w:rsidRPr="00000000">
                  <w:rPr>
                    <w:rtl w:val="0"/>
                  </w:rPr>
                  <w:t xml:space="preserve">[ ] Strong [X] Mixed [ ] Weak</w:t>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7B">
                <w:pPr>
                  <w:spacing w:after="0" w:line="240" w:lineRule="auto"/>
                  <w:rPr/>
                </w:pPr>
                <w:r w:rsidDel="00000000" w:rsidR="00000000" w:rsidRPr="00000000">
                  <w:rPr>
                    <w:rtl w:val="0"/>
                  </w:rPr>
                  <w:t xml:space="preserve">Security improved substantially during the agreement period through written contracts and district/notary-backed arrangements, but it remains time-bound and subsidy-dependent.</w:t>
                </w:r>
              </w:p>
            </w:tc>
          </w:tr>
          <w:tr>
            <w:trPr>
              <w:cantSplit w:val="0"/>
              <w:trHeight w:val="515" w:hRule="atLeast"/>
              <w:tblHeader w:val="0"/>
            </w:trPr>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7C">
                <w:pPr>
                  <w:spacing w:after="0" w:line="240" w:lineRule="auto"/>
                  <w:rPr/>
                </w:pPr>
                <w:r w:rsidDel="00000000" w:rsidR="00000000" w:rsidRPr="00000000">
                  <w:rPr>
                    <w:b w:val="1"/>
                    <w:bCs w:val="1"/>
                    <w:rtl w:val="0"/>
                  </w:rPr>
                  <w:t xml:space="preserve">Eviction risk</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7D">
                <w:pPr>
                  <w:spacing w:after="0" w:line="240" w:lineRule="auto"/>
                  <w:rPr/>
                </w:pPr>
                <w:r w:rsidDel="00000000" w:rsidR="00000000" w:rsidRPr="00000000">
                  <w:rPr>
                    <w:rtl w:val="0"/>
                  </w:rPr>
                  <w:t xml:space="preserve">[X] Reduced [ ] Mixed [ ] Unchanged</w:t>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7E">
                <w:pPr>
                  <w:spacing w:after="0" w:line="240" w:lineRule="auto"/>
                  <w:rPr/>
                </w:pPr>
                <w:r w:rsidDel="00000000" w:rsidR="00000000" w:rsidRPr="00000000">
                  <w:rPr>
                    <w:rtl w:val="0"/>
                  </w:rPr>
                  <w:t xml:space="preserve">Forced eviction reduced during support because landlords could not arbitrarily remove tenants before the agreement ended, though risk returns when agreements or subsidies end.</w:t>
                </w:r>
              </w:p>
            </w:tc>
          </w:tr>
          <w:tr>
            <w:trPr>
              <w:cantSplit w:val="0"/>
              <w:trHeight w:val="515" w:hRule="atLeast"/>
              <w:tblHeader w:val="0"/>
            </w:trPr>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7F">
                <w:pPr>
                  <w:spacing w:after="0" w:line="240" w:lineRule="auto"/>
                  <w:rPr/>
                </w:pPr>
                <w:r w:rsidDel="00000000" w:rsidR="00000000" w:rsidRPr="00000000">
                  <w:rPr>
                    <w:b w:val="1"/>
                    <w:bCs w:val="1"/>
                    <w:rtl w:val="0"/>
                  </w:rPr>
                  <w:t xml:space="preserve">Dispute resolution</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80">
                <w:pPr>
                  <w:spacing w:after="0" w:line="240" w:lineRule="auto"/>
                  <w:rPr/>
                </w:pPr>
                <w:r w:rsidDel="00000000" w:rsidR="00000000" w:rsidRPr="00000000">
                  <w:rPr>
                    <w:rtl w:val="0"/>
                  </w:rPr>
                  <w:t xml:space="preserve">[X] Improved [ ] Some change [ ] No change</w:t>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81">
                <w:pPr>
                  <w:spacing w:after="0" w:line="240" w:lineRule="auto"/>
                  <w:rPr/>
                </w:pPr>
                <w:r w:rsidDel="00000000" w:rsidR="00000000" w:rsidRPr="00000000">
                  <w:rPr>
                    <w:rtl w:val="0"/>
                  </w:rPr>
                  <w:t xml:space="preserve">NRC-supported committees, district channels, and landlord-tenant mechanisms made disputes easier to resolve than before.</w:t>
                </w:r>
              </w:p>
            </w:tc>
          </w:tr>
          <w:tr>
            <w:trPr>
              <w:cantSplit w:val="0"/>
              <w:trHeight w:val="515" w:hRule="atLeast"/>
              <w:tblHeader w:val="0"/>
            </w:trPr>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82">
                <w:pPr>
                  <w:spacing w:after="0" w:line="240" w:lineRule="auto"/>
                  <w:rPr/>
                </w:pPr>
                <w:r w:rsidDel="00000000" w:rsidR="00000000" w:rsidRPr="00000000">
                  <w:rPr>
                    <w:b w:val="1"/>
                    <w:bCs w:val="1"/>
                    <w:rtl w:val="0"/>
                  </w:rPr>
                  <w:t xml:space="preserve">Housing / investment</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83">
                <w:pPr>
                  <w:spacing w:after="0" w:line="240" w:lineRule="auto"/>
                  <w:rPr/>
                </w:pPr>
                <w:r w:rsidDel="00000000" w:rsidR="00000000" w:rsidRPr="00000000">
                  <w:rPr>
                    <w:rtl w:val="0"/>
                  </w:rPr>
                  <w:t xml:space="preserve">[ ] Significant [X] Some [ ] Minimal</w:t>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84">
                <w:pPr>
                  <w:spacing w:after="0" w:line="240" w:lineRule="auto"/>
                  <w:rPr/>
                </w:pPr>
                <w:r w:rsidDel="00000000" w:rsidR="00000000" w:rsidRPr="00000000">
                  <w:rPr>
                    <w:rtl w:val="0"/>
                  </w:rPr>
                  <w:t xml:space="preserve">Rented housing conditions improved significantly and some households invested in kiosks/small businesses, but wider durable housing investment remained limited by the temporary model.</w:t>
                </w:r>
              </w:p>
            </w:tc>
          </w:tr>
          <w:tr>
            <w:trPr>
              <w:cantSplit w:val="0"/>
              <w:trHeight w:val="515" w:hRule="atLeast"/>
              <w:tblHeader w:val="0"/>
            </w:trPr>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85">
                <w:pPr>
                  <w:spacing w:after="0" w:line="240" w:lineRule="auto"/>
                  <w:rPr/>
                </w:pPr>
                <w:r w:rsidDel="00000000" w:rsidR="00000000" w:rsidRPr="00000000">
                  <w:rPr>
                    <w:b w:val="1"/>
                    <w:bCs w:val="1"/>
                    <w:rtl w:val="0"/>
                  </w:rPr>
                  <w:t xml:space="preserve">Safety &amp; stability</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86">
                <w:pPr>
                  <w:spacing w:after="0" w:line="240" w:lineRule="auto"/>
                  <w:rPr/>
                </w:pPr>
                <w:r w:rsidDel="00000000" w:rsidR="00000000" w:rsidRPr="00000000">
                  <w:rPr>
                    <w:rtl w:val="0"/>
                  </w:rPr>
                  <w:t xml:space="preserve">[X] Improved [ ] Mixed [ ] No change</w:t>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87">
                <w:pPr>
                  <w:spacing w:after="0" w:line="240" w:lineRule="auto"/>
                  <w:rPr/>
                </w:pPr>
                <w:r w:rsidDel="00000000" w:rsidR="00000000" w:rsidRPr="00000000">
                  <w:rPr>
                    <w:rtl w:val="0"/>
                  </w:rPr>
                  <w:t xml:space="preserve">Safety, privacy, dignity and school continuity improved, especially compared with camp life, but long-term stability remains uncertain after subsidy expiry.</w:t>
                </w:r>
              </w:p>
            </w:tc>
          </w:tr>
        </w:tbl>
      </w:sdtContent>
    </w:sdt>
    <w:p w:rsidR="00000000" w:rsidDel="00000000" w:rsidP="00000000" w:rsidRDefault="00000000" w:rsidRPr="00000000" w14:paraId="00000188">
      <w:pPr>
        <w:spacing w:after="240" w:before="240" w:lineRule="auto"/>
        <w:jc w:val="both"/>
        <w:rPr/>
      </w:pPr>
      <w:r w:rsidDel="00000000" w:rsidR="00000000" w:rsidRPr="00000000">
        <w:rPr>
          <w:rtl w:val="0"/>
        </w:rPr>
        <w:t xml:space="preserve">The intervention led to clear improvements in tenure security, but these gains were largely time-bound. During the period of NRC support, households reported significantly reduced eviction risk, as landlords were constrained by formal agreements. Dispute resolution also improved, with committees and mediation processes making conflicts easier to manage compared to the past. Housing conditions improved markedly as households moved from informal shelters to rented homes with better protection, privacy, and access to services. Safety and stability also increased, particularly for women and children, as lockable housing reduced exposure to violence and theft. However, these gains were not fully sustained beyond the support period, as households remained financially vulnerable and dependent on continued assistance.</w:t>
      </w:r>
    </w:p>
    <w:p w:rsidR="00000000" w:rsidDel="00000000" w:rsidP="00000000" w:rsidRDefault="00000000" w:rsidRPr="00000000" w14:paraId="00000189">
      <w:pPr>
        <w:pStyle w:val="Title"/>
        <w:numPr>
          <w:ilvl w:val="0"/>
          <w:numId w:val="6"/>
        </w:numPr>
        <w:spacing w:after="80" w:before="360" w:lineRule="auto"/>
        <w:ind w:left="720" w:hanging="360"/>
        <w:rPr>
          <w:b w:val="1"/>
          <w:bCs w:val="1"/>
          <w:color w:val="ff7602"/>
          <w:sz w:val="22"/>
          <w:szCs w:val="22"/>
        </w:rPr>
      </w:pPr>
      <w:bookmarkStart w:colFirst="0" w:colLast="0" w:name="_heading=h.irue5wximtl6" w:id="39"/>
      <w:bookmarkEnd w:id="39"/>
      <w:r w:rsidDel="00000000" w:rsidR="00000000" w:rsidRPr="00000000">
        <w:rPr>
          <w:rtl w:val="0"/>
        </w:rPr>
        <w:t xml:space="preserve"> GENDER &amp; INCLUSION</w:t>
      </w:r>
    </w:p>
    <w:p w:rsidR="00000000" w:rsidDel="00000000" w:rsidP="00000000" w:rsidRDefault="00000000" w:rsidRPr="00000000" w14:paraId="0000018A">
      <w:pPr>
        <w:spacing w:after="240" w:before="240" w:line="240" w:lineRule="auto"/>
        <w:rPr/>
      </w:pPr>
      <w:r w:rsidDel="00000000" w:rsidR="00000000" w:rsidRPr="00000000">
        <w:rPr>
          <w:rtl w:val="0"/>
        </w:rPr>
        <w:t xml:space="preserve">Women's and vulnerable groups’ tenure protection in practice:</w:t>
      </w:r>
    </w:p>
    <w:p w:rsidR="00000000" w:rsidDel="00000000" w:rsidP="00000000" w:rsidRDefault="00000000" w:rsidRPr="00000000" w14:paraId="0000018B">
      <w:pPr>
        <w:numPr>
          <w:ilvl w:val="0"/>
          <w:numId w:val="7"/>
        </w:numPr>
        <w:spacing w:after="0" w:before="240" w:line="240" w:lineRule="auto"/>
        <w:ind w:left="720" w:hanging="360"/>
      </w:pPr>
      <w:r w:rsidDel="00000000" w:rsidR="00000000" w:rsidRPr="00000000">
        <w:rPr>
          <w:rtl w:val="0"/>
        </w:rPr>
        <w:t xml:space="preserve">[ ] Strong</w:t>
      </w:r>
    </w:p>
    <w:p w:rsidR="00000000" w:rsidDel="00000000" w:rsidP="00000000" w:rsidRDefault="00000000" w:rsidRPr="00000000" w14:paraId="0000018C">
      <w:pPr>
        <w:numPr>
          <w:ilvl w:val="0"/>
          <w:numId w:val="7"/>
        </w:numPr>
        <w:spacing w:after="0" w:line="240" w:lineRule="auto"/>
        <w:ind w:left="720" w:hanging="360"/>
      </w:pPr>
      <w:r w:rsidDel="00000000" w:rsidR="00000000" w:rsidRPr="00000000">
        <w:rPr>
          <w:rtl w:val="0"/>
        </w:rPr>
        <w:t xml:space="preserve">[X] Conditional</w:t>
      </w:r>
    </w:p>
    <w:p w:rsidR="00000000" w:rsidDel="00000000" w:rsidP="00000000" w:rsidRDefault="00000000" w:rsidRPr="00000000" w14:paraId="0000018D">
      <w:pPr>
        <w:numPr>
          <w:ilvl w:val="0"/>
          <w:numId w:val="7"/>
        </w:numPr>
        <w:spacing w:after="200" w:line="240" w:lineRule="auto"/>
        <w:ind w:left="720" w:hanging="360"/>
      </w:pPr>
      <w:r w:rsidDel="00000000" w:rsidR="00000000" w:rsidRPr="00000000">
        <w:rPr>
          <w:rtl w:val="0"/>
        </w:rPr>
        <w:t xml:space="preserve">[ ] Weak</w:t>
      </w:r>
    </w:p>
    <w:p w:rsidR="00000000" w:rsidDel="00000000" w:rsidP="00000000" w:rsidRDefault="00000000" w:rsidRPr="00000000" w14:paraId="0000018E">
      <w:pPr>
        <w:spacing w:after="240" w:before="240" w:line="240" w:lineRule="auto"/>
        <w:jc w:val="both"/>
        <w:rPr/>
      </w:pPr>
      <w:r w:rsidDel="00000000" w:rsidR="00000000" w:rsidRPr="00000000">
        <w:rPr>
          <w:rtl w:val="0"/>
        </w:rPr>
        <w:t xml:space="preserve">Women were generally included in the intervention and, in some cases, prioritised as beneficiaries. They had access to information and were able to participate in decision-making processes, including selecting housing and engaging in agreements. However, inclusion remained conditional in practice. Cultural norms, fear of speaking up, and reliance on male or community intermediaries limited full agency for some women, particularly elderly or vulnerable individuals. While the intervention reduced gender-specific risks associated with camp life such as exposure to violence, it did not fully overcome structural inequalities that affect women’s long-term control over housing and resources.</w:t>
      </w:r>
    </w:p>
    <w:p w:rsidR="00000000" w:rsidDel="00000000" w:rsidP="00000000" w:rsidRDefault="00000000" w:rsidRPr="00000000" w14:paraId="0000018F">
      <w:pPr>
        <w:spacing w:after="200" w:line="240" w:lineRule="auto"/>
        <w:rPr/>
      </w:pPr>
      <w:r w:rsidDel="00000000" w:rsidR="00000000" w:rsidRPr="00000000">
        <w:rPr>
          <w:rtl w:val="0"/>
        </w:rPr>
      </w:r>
    </w:p>
    <w:p w:rsidR="00000000" w:rsidDel="00000000" w:rsidP="00000000" w:rsidRDefault="00000000" w:rsidRPr="00000000" w14:paraId="00000190">
      <w:pPr>
        <w:pStyle w:val="Title"/>
        <w:numPr>
          <w:ilvl w:val="0"/>
          <w:numId w:val="6"/>
        </w:numPr>
        <w:spacing w:after="80" w:before="200" w:lineRule="auto"/>
        <w:ind w:left="720" w:hanging="360"/>
        <w:rPr>
          <w:b w:val="1"/>
          <w:bCs w:val="1"/>
          <w:color w:val="ff7602"/>
          <w:sz w:val="22"/>
          <w:szCs w:val="22"/>
        </w:rPr>
      </w:pPr>
      <w:bookmarkStart w:colFirst="0" w:colLast="0" w:name="_heading=h.rvn2dzi7g9k5" w:id="40"/>
      <w:bookmarkEnd w:id="40"/>
      <w:r w:rsidDel="00000000" w:rsidR="00000000" w:rsidRPr="00000000">
        <w:rPr>
          <w:rtl w:val="0"/>
        </w:rPr>
        <w:t xml:space="preserve"> SUSTAINABILITY &amp; EXIT READINESS</w:t>
      </w:r>
    </w:p>
    <w:sdt>
      <w:sdtPr>
        <w:lock w:val="contentLocked"/>
        <w:id w:val="108013635"/>
        <w:tag w:val="goog_rdk_5"/>
      </w:sdtPr>
      <w:sdtContent>
        <w:tbl>
          <w:tblPr>
            <w:tblStyle w:val="Table14"/>
            <w:tblW w:w="8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995"/>
            <w:gridCol w:w="4265"/>
            <w:tblGridChange w:id="0">
              <w:tblGrid>
                <w:gridCol w:w="3995"/>
                <w:gridCol w:w="4265"/>
              </w:tblGrid>
            </w:tblGridChange>
          </w:tblGrid>
          <w:tr>
            <w:trPr>
              <w:cantSplit w:val="0"/>
              <w:trHeight w:val="515" w:hRule="atLeast"/>
              <w:tblHeader w:val="0"/>
            </w:trPr>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91">
                <w:pPr>
                  <w:spacing w:after="0" w:line="240" w:lineRule="auto"/>
                  <w:jc w:val="center"/>
                  <w:rPr/>
                </w:pPr>
                <w:r w:rsidDel="00000000" w:rsidR="00000000" w:rsidRPr="00000000">
                  <w:rPr>
                    <w:b w:val="1"/>
                    <w:bCs w:val="1"/>
                    <w:rtl w:val="0"/>
                  </w:rPr>
                  <w:t xml:space="preserve">Dimension</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92">
                <w:pPr>
                  <w:spacing w:after="0" w:line="240" w:lineRule="auto"/>
                  <w:jc w:val="center"/>
                  <w:rPr/>
                </w:pPr>
                <w:r w:rsidDel="00000000" w:rsidR="00000000" w:rsidRPr="00000000">
                  <w:rPr>
                    <w:b w:val="1"/>
                    <w:bCs w:val="1"/>
                    <w:rtl w:val="0"/>
                  </w:rPr>
                  <w:t xml:space="preserve">Assessment</w:t>
                </w:r>
                <w:r w:rsidDel="00000000" w:rsidR="00000000" w:rsidRPr="00000000">
                  <w:rPr>
                    <w:rtl w:val="0"/>
                  </w:rPr>
                </w:r>
              </w:p>
            </w:tc>
          </w:tr>
          <w:tr>
            <w:trPr>
              <w:cantSplit w:val="0"/>
              <w:trHeight w:val="515" w:hRule="atLeast"/>
              <w:tblHeader w:val="0"/>
            </w:trPr>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93">
                <w:pPr>
                  <w:spacing w:after="0" w:line="240" w:lineRule="auto"/>
                  <w:rPr/>
                </w:pPr>
                <w:r w:rsidDel="00000000" w:rsidR="00000000" w:rsidRPr="00000000">
                  <w:rPr>
                    <w:b w:val="1"/>
                    <w:bCs w:val="1"/>
                    <w:rtl w:val="0"/>
                  </w:rPr>
                  <w:t xml:space="preserve">Institutional ownership</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94">
                <w:pPr>
                  <w:spacing w:after="0" w:line="240" w:lineRule="auto"/>
                  <w:rPr/>
                </w:pPr>
                <w:r w:rsidDel="00000000" w:rsidR="00000000" w:rsidRPr="00000000">
                  <w:rPr>
                    <w:rtl w:val="0"/>
                  </w:rPr>
                  <w:t xml:space="preserve">[ ] Strong [X] Partial [ ] Weak</w:t>
                </w:r>
              </w:p>
            </w:tc>
          </w:tr>
          <w:tr>
            <w:trPr>
              <w:cantSplit w:val="0"/>
              <w:trHeight w:val="515" w:hRule="atLeast"/>
              <w:tblHeader w:val="0"/>
            </w:trPr>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95">
                <w:pPr>
                  <w:spacing w:after="0" w:line="240" w:lineRule="auto"/>
                  <w:rPr/>
                </w:pPr>
                <w:r w:rsidDel="00000000" w:rsidR="00000000" w:rsidRPr="00000000">
                  <w:rPr>
                    <w:b w:val="1"/>
                    <w:bCs w:val="1"/>
                    <w:rtl w:val="0"/>
                  </w:rPr>
                  <w:t xml:space="preserve">Dispute resolution after NRC</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96">
                <w:pPr>
                  <w:spacing w:after="0" w:line="240" w:lineRule="auto"/>
                  <w:rPr/>
                </w:pPr>
                <w:r w:rsidDel="00000000" w:rsidR="00000000" w:rsidRPr="00000000">
                  <w:rPr>
                    <w:rtl w:val="0"/>
                  </w:rPr>
                  <w:t xml:space="preserve">[X] Functional [ ] Uncertain [ ] Absent</w:t>
                </w:r>
              </w:p>
            </w:tc>
          </w:tr>
          <w:tr>
            <w:trPr>
              <w:cantSplit w:val="0"/>
              <w:trHeight w:val="515" w:hRule="atLeast"/>
              <w:tblHeader w:val="0"/>
            </w:trPr>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97">
                <w:pPr>
                  <w:spacing w:after="0" w:line="240" w:lineRule="auto"/>
                  <w:rPr/>
                </w:pPr>
                <w:r w:rsidDel="00000000" w:rsidR="00000000" w:rsidRPr="00000000">
                  <w:rPr>
                    <w:b w:val="1"/>
                    <w:bCs w:val="1"/>
                    <w:rtl w:val="0"/>
                  </w:rPr>
                  <w:t xml:space="preserve">Affordability of fees/taxes</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98">
                <w:pPr>
                  <w:spacing w:after="0" w:line="240" w:lineRule="auto"/>
                  <w:rPr/>
                </w:pPr>
                <w:r w:rsidDel="00000000" w:rsidR="00000000" w:rsidRPr="00000000">
                  <w:rPr>
                    <w:rtl w:val="0"/>
                  </w:rPr>
                  <w:t xml:space="preserve">[ ] Manageable [X] Mixed [ ] Unaffordable</w:t>
                </w:r>
              </w:p>
            </w:tc>
          </w:tr>
          <w:tr>
            <w:trPr>
              <w:cantSplit w:val="0"/>
              <w:trHeight w:val="515" w:hRule="atLeast"/>
              <w:tblHeader w:val="0"/>
            </w:trPr>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99">
                <w:pPr>
                  <w:spacing w:after="0" w:line="240" w:lineRule="auto"/>
                  <w:rPr/>
                </w:pPr>
                <w:r w:rsidDel="00000000" w:rsidR="00000000" w:rsidRPr="00000000">
                  <w:rPr>
                    <w:b w:val="1"/>
                    <w:bCs w:val="1"/>
                    <w:rtl w:val="0"/>
                  </w:rPr>
                  <w:t xml:space="preserve">Resilience to political/market change</w:t>
                </w:r>
                <w:r w:rsidDel="00000000" w:rsidR="00000000" w:rsidRPr="00000000">
                  <w:rPr>
                    <w:rtl w:val="0"/>
                  </w:rPr>
                </w:r>
              </w:p>
            </w:tc>
            <w:tc>
              <w:tcPr>
                <w:tcBorders>
                  <w:top w:color="ff7602" w:space="0" w:sz="4" w:val="single"/>
                  <w:left w:color="ff7602" w:space="0" w:sz="4" w:val="single"/>
                  <w:bottom w:color="ff7602" w:space="0" w:sz="4" w:val="single"/>
                  <w:right w:color="ff7602" w:space="0" w:sz="4" w:val="single"/>
                </w:tcBorders>
                <w:tcMar>
                  <w:top w:w="100.0" w:type="dxa"/>
                  <w:left w:w="100.0" w:type="dxa"/>
                  <w:bottom w:w="100.0" w:type="dxa"/>
                  <w:right w:w="100.0" w:type="dxa"/>
                </w:tcMar>
              </w:tcPr>
              <w:p w:rsidR="00000000" w:rsidDel="00000000" w:rsidP="00000000" w:rsidRDefault="00000000" w:rsidRPr="00000000" w14:paraId="0000019A">
                <w:pPr>
                  <w:spacing w:after="0" w:line="240" w:lineRule="auto"/>
                  <w:rPr/>
                </w:pPr>
                <w:r w:rsidDel="00000000" w:rsidR="00000000" w:rsidRPr="00000000">
                  <w:rPr>
                    <w:rtl w:val="0"/>
                  </w:rPr>
                  <w:t xml:space="preserve">[ ] High [X] Medium [ ] Low</w:t>
                </w:r>
              </w:p>
            </w:tc>
          </w:tr>
        </w:tbl>
      </w:sdtContent>
    </w:sdt>
    <w:p w:rsidR="00000000" w:rsidDel="00000000" w:rsidP="00000000" w:rsidRDefault="00000000" w:rsidRPr="00000000" w14:paraId="0000019B">
      <w:pPr>
        <w:spacing w:after="240" w:before="240" w:line="240" w:lineRule="auto"/>
        <w:rPr>
          <w:b w:val="1"/>
          <w:bCs w:val="1"/>
        </w:rPr>
      </w:pPr>
      <w:r w:rsidDel="00000000" w:rsidR="00000000" w:rsidRPr="00000000">
        <w:rPr>
          <w:b w:val="1"/>
          <w:bCs w:val="1"/>
          <w:rtl w:val="0"/>
        </w:rPr>
        <w:t xml:space="preserve">Overall durability judgement:</w:t>
      </w:r>
    </w:p>
    <w:p w:rsidR="00000000" w:rsidDel="00000000" w:rsidP="00000000" w:rsidRDefault="00000000" w:rsidRPr="00000000" w14:paraId="0000019C">
      <w:pPr>
        <w:numPr>
          <w:ilvl w:val="0"/>
          <w:numId w:val="3"/>
        </w:numPr>
        <w:spacing w:after="0" w:before="240" w:line="240" w:lineRule="auto"/>
        <w:ind w:left="720" w:hanging="360"/>
      </w:pPr>
      <w:r w:rsidDel="00000000" w:rsidR="00000000" w:rsidRPr="00000000">
        <w:rPr>
          <w:rtl w:val="0"/>
        </w:rPr>
        <w:t xml:space="preserve">[ ] Durable</w:t>
      </w:r>
    </w:p>
    <w:p w:rsidR="00000000" w:rsidDel="00000000" w:rsidP="00000000" w:rsidRDefault="00000000" w:rsidRPr="00000000" w14:paraId="0000019D">
      <w:pPr>
        <w:numPr>
          <w:ilvl w:val="0"/>
          <w:numId w:val="3"/>
        </w:numPr>
        <w:spacing w:after="0" w:line="240" w:lineRule="auto"/>
        <w:ind w:left="720" w:hanging="360"/>
      </w:pPr>
      <w:r w:rsidDel="00000000" w:rsidR="00000000" w:rsidRPr="00000000">
        <w:rPr>
          <w:rtl w:val="0"/>
        </w:rPr>
        <w:t xml:space="preserve">[X] Conditional</w:t>
      </w:r>
    </w:p>
    <w:p w:rsidR="00000000" w:rsidDel="00000000" w:rsidP="00000000" w:rsidRDefault="00000000" w:rsidRPr="00000000" w14:paraId="0000019E">
      <w:pPr>
        <w:numPr>
          <w:ilvl w:val="0"/>
          <w:numId w:val="3"/>
        </w:numPr>
        <w:spacing w:after="200" w:line="240" w:lineRule="auto"/>
        <w:ind w:left="720" w:hanging="360"/>
      </w:pPr>
      <w:r w:rsidDel="00000000" w:rsidR="00000000" w:rsidRPr="00000000">
        <w:rPr>
          <w:rtl w:val="0"/>
        </w:rPr>
        <w:t xml:space="preserve">[ ] Fragile</w:t>
      </w:r>
    </w:p>
    <w:p w:rsidR="00000000" w:rsidDel="00000000" w:rsidP="00000000" w:rsidRDefault="00000000" w:rsidRPr="00000000" w14:paraId="0000019F">
      <w:pPr>
        <w:spacing w:after="240" w:before="240" w:line="240" w:lineRule="auto"/>
        <w:jc w:val="both"/>
        <w:rPr/>
      </w:pPr>
      <w:r w:rsidDel="00000000" w:rsidR="00000000" w:rsidRPr="00000000">
        <w:rPr>
          <w:rtl w:val="0"/>
        </w:rPr>
        <w:t xml:space="preserve">Sustainability of the Mogadishu model is constrained primarily by financial factors. While institutional elements such as dispute resolution committees and district involvement are in place and functioning, long-term tenure security depends heavily on households’ ability to pay rent after NRC support ends. Many participants expressed concern about rent affordability, rising costs, and the absence of stable income sources. Although some beneficiaries invested in small businesses using NRC-provided capital, these livelihoods were often fragile and insufficient to guarantee rent payments. As a result, the durability of tenure arrangements is conditional, with a high risk that households may face renewed displacement once subsidies expire.</w:t>
      </w:r>
    </w:p>
    <w:p w:rsidR="00000000" w:rsidDel="00000000" w:rsidP="00000000" w:rsidRDefault="00000000" w:rsidRPr="00000000" w14:paraId="000001A0">
      <w:pPr>
        <w:pStyle w:val="Title"/>
        <w:numPr>
          <w:ilvl w:val="0"/>
          <w:numId w:val="6"/>
        </w:numPr>
        <w:spacing w:after="80" w:before="200" w:lineRule="auto"/>
        <w:ind w:left="720" w:hanging="360"/>
        <w:rPr>
          <w:b w:val="1"/>
          <w:bCs w:val="1"/>
          <w:color w:val="ff7602"/>
          <w:sz w:val="22"/>
          <w:szCs w:val="22"/>
        </w:rPr>
      </w:pPr>
      <w:bookmarkStart w:colFirst="0" w:colLast="0" w:name="_heading=h.a1ltw0q9vpoa" w:id="41"/>
      <w:bookmarkEnd w:id="41"/>
      <w:r w:rsidDel="00000000" w:rsidR="00000000" w:rsidRPr="00000000">
        <w:rPr>
          <w:rtl w:val="0"/>
        </w:rPr>
        <w:t xml:space="preserve"> POLITICAL ECONOMY &amp; RISK</w:t>
      </w:r>
    </w:p>
    <w:p w:rsidR="00000000" w:rsidDel="00000000" w:rsidP="00000000" w:rsidRDefault="00000000" w:rsidRPr="00000000" w14:paraId="000001A1">
      <w:pPr>
        <w:spacing w:after="240" w:before="240" w:line="240" w:lineRule="auto"/>
        <w:rPr/>
      </w:pPr>
      <w:r w:rsidDel="00000000" w:rsidR="00000000" w:rsidRPr="00000000">
        <w:rPr>
          <w:rtl w:val="0"/>
        </w:rPr>
        <w:t xml:space="preserve">Main risks identified:</w:t>
      </w:r>
    </w:p>
    <w:p w:rsidR="00000000" w:rsidDel="00000000" w:rsidP="00000000" w:rsidRDefault="00000000" w:rsidRPr="00000000" w14:paraId="000001A2">
      <w:pPr>
        <w:numPr>
          <w:ilvl w:val="0"/>
          <w:numId w:val="8"/>
        </w:numPr>
        <w:spacing w:after="0" w:before="240" w:line="240" w:lineRule="auto"/>
        <w:ind w:left="720" w:hanging="360"/>
      </w:pPr>
      <w:r w:rsidDel="00000000" w:rsidR="00000000" w:rsidRPr="00000000">
        <w:rPr>
          <w:rtl w:val="0"/>
        </w:rPr>
        <w:t xml:space="preserve">[X] Elite capture</w:t>
      </w:r>
    </w:p>
    <w:p w:rsidR="00000000" w:rsidDel="00000000" w:rsidP="00000000" w:rsidRDefault="00000000" w:rsidRPr="00000000" w14:paraId="000001A3">
      <w:pPr>
        <w:numPr>
          <w:ilvl w:val="0"/>
          <w:numId w:val="8"/>
        </w:numPr>
        <w:spacing w:after="0" w:line="240" w:lineRule="auto"/>
        <w:ind w:left="720" w:hanging="360"/>
      </w:pPr>
      <w:r w:rsidDel="00000000" w:rsidR="00000000" w:rsidRPr="00000000">
        <w:rPr>
          <w:rtl w:val="0"/>
        </w:rPr>
        <w:t xml:space="preserve">[X] Land speculation</w:t>
      </w:r>
    </w:p>
    <w:p w:rsidR="00000000" w:rsidDel="00000000" w:rsidP="00000000" w:rsidRDefault="00000000" w:rsidRPr="00000000" w14:paraId="000001A4">
      <w:pPr>
        <w:numPr>
          <w:ilvl w:val="0"/>
          <w:numId w:val="8"/>
        </w:numPr>
        <w:spacing w:after="0" w:line="240" w:lineRule="auto"/>
        <w:ind w:left="720" w:hanging="360"/>
      </w:pPr>
      <w:r w:rsidDel="00000000" w:rsidR="00000000" w:rsidRPr="00000000">
        <w:rPr>
          <w:rtl w:val="0"/>
        </w:rPr>
        <w:t xml:space="preserve">[ ] Leadership change</w:t>
      </w:r>
    </w:p>
    <w:p w:rsidR="00000000" w:rsidDel="00000000" w:rsidP="00000000" w:rsidRDefault="00000000" w:rsidRPr="00000000" w14:paraId="000001A5">
      <w:pPr>
        <w:numPr>
          <w:ilvl w:val="0"/>
          <w:numId w:val="8"/>
        </w:numPr>
        <w:spacing w:after="0" w:line="240" w:lineRule="auto"/>
        <w:ind w:left="720" w:hanging="360"/>
      </w:pPr>
      <w:r w:rsidDel="00000000" w:rsidR="00000000" w:rsidRPr="00000000">
        <w:rPr>
          <w:rtl w:val="0"/>
        </w:rPr>
        <w:t xml:space="preserve">[X] Gender exclusion</w:t>
      </w:r>
    </w:p>
    <w:p w:rsidR="00000000" w:rsidDel="00000000" w:rsidP="00000000" w:rsidRDefault="00000000" w:rsidRPr="00000000" w14:paraId="000001A6">
      <w:pPr>
        <w:numPr>
          <w:ilvl w:val="0"/>
          <w:numId w:val="8"/>
        </w:numPr>
        <w:spacing w:after="0" w:line="240" w:lineRule="auto"/>
        <w:ind w:left="720" w:hanging="360"/>
      </w:pPr>
      <w:r w:rsidDel="00000000" w:rsidR="00000000" w:rsidRPr="00000000">
        <w:rPr>
          <w:rtl w:val="0"/>
        </w:rPr>
        <w:t xml:space="preserve">[X] Cost escalation</w:t>
      </w:r>
    </w:p>
    <w:p w:rsidR="00000000" w:rsidDel="00000000" w:rsidP="00000000" w:rsidRDefault="00000000" w:rsidRPr="00000000" w14:paraId="000001A7">
      <w:pPr>
        <w:numPr>
          <w:ilvl w:val="0"/>
          <w:numId w:val="8"/>
        </w:numPr>
        <w:spacing w:after="200" w:line="240" w:lineRule="auto"/>
        <w:ind w:left="720" w:hanging="360"/>
      </w:pPr>
      <w:r w:rsidDel="00000000" w:rsidR="00000000" w:rsidRPr="00000000">
        <w:rPr>
          <w:rtl w:val="0"/>
        </w:rPr>
        <w:t xml:space="preserve">[X] Other: Landlord non-compliance after subsidy ends; unclear enforcement between customary and formal systems </w:t>
      </w:r>
    </w:p>
    <w:p w:rsidR="00000000" w:rsidDel="00000000" w:rsidP="00000000" w:rsidRDefault="00000000" w:rsidRPr="00000000" w14:paraId="000001A8">
      <w:pPr>
        <w:spacing w:after="240" w:before="240" w:line="240" w:lineRule="auto"/>
        <w:jc w:val="both"/>
        <w:rPr/>
      </w:pPr>
      <w:r w:rsidDel="00000000" w:rsidR="00000000" w:rsidRPr="00000000">
        <w:rPr>
          <w:rtl w:val="0"/>
        </w:rPr>
        <w:t xml:space="preserve">The Mogadishu context presents several structural risks that affect the sustainability of outcomes. Land and housing are largely controlled by private actors, and rising land values create incentives for eviction or rent increases. Land disputes are often linked to competing ownership claims, inheritance conflicts, or speculation. Elite influence and power imbalances can affect access to land and dispute outcomes, while gender norms continue to limit women’s control over housing. Cost escalation, particularly rent increases, was repeatedly identified as a major risk. Additionally, the system relies on continued coordination between multiple actors (landlords, district authorities, NRC), which may weaken over time if external support is withdrawn.</w:t>
      </w:r>
    </w:p>
    <w:p w:rsidR="00000000" w:rsidDel="00000000" w:rsidP="00000000" w:rsidRDefault="00000000" w:rsidRPr="00000000" w14:paraId="000001A9">
      <w:pPr>
        <w:pStyle w:val="Title"/>
        <w:numPr>
          <w:ilvl w:val="0"/>
          <w:numId w:val="6"/>
        </w:numPr>
        <w:spacing w:after="80" w:before="200" w:lineRule="auto"/>
        <w:ind w:left="720" w:hanging="360"/>
        <w:rPr>
          <w:b w:val="1"/>
          <w:bCs w:val="1"/>
          <w:color w:val="ff7602"/>
          <w:sz w:val="22"/>
          <w:szCs w:val="22"/>
        </w:rPr>
      </w:pPr>
      <w:bookmarkStart w:colFirst="0" w:colLast="0" w:name="_heading=h.tsqnb1jm3lc3" w:id="42"/>
      <w:bookmarkEnd w:id="42"/>
      <w:r w:rsidDel="00000000" w:rsidR="00000000" w:rsidRPr="00000000">
        <w:rPr>
          <w:rtl w:val="0"/>
        </w:rPr>
        <w:t xml:space="preserve"> CONTRIBUTION ANALYSIS</w:t>
      </w:r>
    </w:p>
    <w:p w:rsidR="00000000" w:rsidDel="00000000" w:rsidP="00000000" w:rsidRDefault="00000000" w:rsidRPr="00000000" w14:paraId="000001AA">
      <w:pPr>
        <w:spacing w:after="240" w:before="240" w:line="240" w:lineRule="auto"/>
        <w:rPr>
          <w:b w:val="1"/>
          <w:bCs w:val="1"/>
        </w:rPr>
      </w:pPr>
      <w:r w:rsidDel="00000000" w:rsidR="00000000" w:rsidRPr="00000000">
        <w:rPr>
          <w:b w:val="1"/>
          <w:bCs w:val="1"/>
          <w:rtl w:val="0"/>
        </w:rPr>
        <w:t xml:space="preserve">What would likely have happened without NRC?</w:t>
      </w:r>
    </w:p>
    <w:p w:rsidR="00000000" w:rsidDel="00000000" w:rsidP="00000000" w:rsidRDefault="00000000" w:rsidRPr="00000000" w14:paraId="000001AB">
      <w:pPr>
        <w:spacing w:after="240" w:before="240" w:line="240" w:lineRule="auto"/>
        <w:rPr>
          <w:b w:val="1"/>
          <w:bCs w:val="1"/>
        </w:rPr>
      </w:pPr>
      <w:r w:rsidDel="00000000" w:rsidR="00000000" w:rsidRPr="00000000">
        <w:rPr>
          <w:b w:val="1"/>
          <w:bCs w:val="1"/>
          <w:rtl w:val="0"/>
        </w:rPr>
        <w:t xml:space="preserve">NRC's role:</w:t>
      </w:r>
    </w:p>
    <w:p w:rsidR="00000000" w:rsidDel="00000000" w:rsidP="00000000" w:rsidRDefault="00000000" w:rsidRPr="00000000" w14:paraId="000001AC">
      <w:pPr>
        <w:numPr>
          <w:ilvl w:val="0"/>
          <w:numId w:val="4"/>
        </w:numPr>
        <w:spacing w:after="0" w:before="240" w:line="240" w:lineRule="auto"/>
        <w:ind w:left="720" w:hanging="360"/>
      </w:pPr>
      <w:r w:rsidDel="00000000" w:rsidR="00000000" w:rsidRPr="00000000">
        <w:rPr>
          <w:rtl w:val="0"/>
        </w:rPr>
        <w:t xml:space="preserve">[X] Necessary</w:t>
      </w:r>
    </w:p>
    <w:p w:rsidR="00000000" w:rsidDel="00000000" w:rsidP="00000000" w:rsidRDefault="00000000" w:rsidRPr="00000000" w14:paraId="000001AD">
      <w:pPr>
        <w:numPr>
          <w:ilvl w:val="0"/>
          <w:numId w:val="4"/>
        </w:numPr>
        <w:spacing w:after="0" w:line="240" w:lineRule="auto"/>
        <w:ind w:left="720" w:hanging="360"/>
      </w:pPr>
      <w:r w:rsidDel="00000000" w:rsidR="00000000" w:rsidRPr="00000000">
        <w:rPr>
          <w:rtl w:val="0"/>
        </w:rPr>
        <w:t xml:space="preserve">[ ] Catalytic</w:t>
      </w:r>
    </w:p>
    <w:p w:rsidR="00000000" w:rsidDel="00000000" w:rsidP="00000000" w:rsidRDefault="00000000" w:rsidRPr="00000000" w14:paraId="000001AE">
      <w:pPr>
        <w:numPr>
          <w:ilvl w:val="0"/>
          <w:numId w:val="4"/>
        </w:numPr>
        <w:spacing w:after="200" w:line="240" w:lineRule="auto"/>
        <w:ind w:left="720" w:hanging="360"/>
      </w:pPr>
      <w:r w:rsidDel="00000000" w:rsidR="00000000" w:rsidRPr="00000000">
        <w:rPr>
          <w:rtl w:val="0"/>
        </w:rPr>
        <w:t xml:space="preserve">[ ] Supporting</w:t>
      </w:r>
    </w:p>
    <w:p w:rsidR="00000000" w:rsidDel="00000000" w:rsidP="00000000" w:rsidRDefault="00000000" w:rsidRPr="00000000" w14:paraId="000001AF">
      <w:pPr>
        <w:spacing w:after="240" w:before="240" w:line="240" w:lineRule="auto"/>
        <w:jc w:val="both"/>
        <w:rPr/>
      </w:pPr>
      <w:r w:rsidDel="00000000" w:rsidR="00000000" w:rsidRPr="00000000">
        <w:rPr>
          <w:rtl w:val="0"/>
        </w:rPr>
        <w:t xml:space="preserve">Without NRC’s intervention, most households would likely have remained in cycles of displacement within informal settlements, facing repeated eviction and unsafe living conditions. The rental support, formal agreements, and mediation mechanisms introduced by NRC enabled a transition from camp-based insecurity to relative urban stability, at least in the short term. The intervention was therefore not just supportive but necessary to achieve these outcomes. It provided both financial and institutional mechanisms that households could not access independently, particularly in navigating landlord relations and securing formalised tenure arrangements.</w:t>
      </w:r>
    </w:p>
    <w:p w:rsidR="00000000" w:rsidDel="00000000" w:rsidP="00000000" w:rsidRDefault="00000000" w:rsidRPr="00000000" w14:paraId="000001B0">
      <w:pPr>
        <w:pStyle w:val="Title"/>
        <w:numPr>
          <w:ilvl w:val="0"/>
          <w:numId w:val="6"/>
        </w:numPr>
        <w:spacing w:after="80" w:before="200" w:lineRule="auto"/>
        <w:ind w:left="720" w:hanging="360"/>
        <w:rPr>
          <w:b w:val="1"/>
          <w:bCs w:val="1"/>
          <w:color w:val="ff7602"/>
          <w:sz w:val="22"/>
          <w:szCs w:val="22"/>
        </w:rPr>
      </w:pPr>
      <w:bookmarkStart w:colFirst="0" w:colLast="0" w:name="_heading=h.y8fotb58g497" w:id="43"/>
      <w:bookmarkEnd w:id="43"/>
      <w:r w:rsidDel="00000000" w:rsidR="00000000" w:rsidRPr="00000000">
        <w:rPr>
          <w:rtl w:val="0"/>
        </w:rPr>
        <w:t xml:space="preserve"> TRANSFERABILITY &amp; KEY LESSON</w:t>
      </w:r>
    </w:p>
    <w:p w:rsidR="00000000" w:rsidDel="00000000" w:rsidP="00000000" w:rsidRDefault="00000000" w:rsidRPr="00000000" w14:paraId="000001B1">
      <w:pPr>
        <w:spacing w:after="240" w:before="240" w:line="240" w:lineRule="auto"/>
        <w:rPr/>
      </w:pPr>
      <w:r w:rsidDel="00000000" w:rsidR="00000000" w:rsidRPr="00000000">
        <w:rPr>
          <w:b w:val="1"/>
          <w:bCs w:val="1"/>
          <w:rtl w:val="0"/>
        </w:rPr>
        <w:t xml:space="preserve">Where this model works best: </w:t>
      </w:r>
      <w:r w:rsidDel="00000000" w:rsidR="00000000" w:rsidRPr="00000000">
        <w:rPr>
          <w:rtl w:val="0"/>
        </w:rPr>
        <w:t xml:space="preserve">The Mogadishu model is most applicable in urban contexts where land is predominantly privately owned and where permanent land allocation is not feasible. In such environments, rental-based tenure solutions combined with mediation and formal agreements, can provide effective short-term protection. </w:t>
      </w:r>
    </w:p>
    <w:p w:rsidR="00000000" w:rsidDel="00000000" w:rsidP="00000000" w:rsidRDefault="00000000" w:rsidRPr="00000000" w14:paraId="000001B2">
      <w:pPr>
        <w:spacing w:after="240" w:before="240" w:line="240" w:lineRule="auto"/>
        <w:rPr/>
      </w:pPr>
      <w:r w:rsidDel="00000000" w:rsidR="00000000" w:rsidRPr="00000000">
        <w:rPr>
          <w:b w:val="1"/>
          <w:bCs w:val="1"/>
          <w:rtl w:val="0"/>
        </w:rPr>
        <w:t xml:space="preserve">One key lesson for NRC programming: </w:t>
      </w:r>
      <w:r w:rsidDel="00000000" w:rsidR="00000000" w:rsidRPr="00000000">
        <w:rPr>
          <w:rtl w:val="0"/>
        </w:rPr>
        <w:t xml:space="preserve">The key lesson from this case is that tenure security achieved through rental arrangements is inherently fragile unless paired with sustainable income sources or longer-term housing solutions. Without addressing affordability and livelihoods, the benefits of tenure security are likely to diminish once external support is withdrawn.</w:t>
      </w:r>
    </w:p>
    <w:p w:rsidR="00000000" w:rsidDel="00000000" w:rsidP="00000000" w:rsidRDefault="00000000" w:rsidRPr="00000000" w14:paraId="000001B3">
      <w:pPr>
        <w:pStyle w:val="Title"/>
        <w:spacing w:after="80" w:before="360" w:lineRule="auto"/>
        <w:ind w:left="0"/>
        <w:rPr/>
      </w:pPr>
      <w:bookmarkStart w:colFirst="0" w:colLast="0" w:name="_heading=h.qxef5fkpzruf" w:id="44"/>
      <w:bookmarkEnd w:id="44"/>
      <w:r w:rsidDel="00000000" w:rsidR="00000000" w:rsidRPr="00000000">
        <w:rPr>
          <w:rtl w:val="0"/>
        </w:rPr>
        <w:t xml:space="preserve">EVIDENCE SOURCES</w:t>
      </w:r>
    </w:p>
    <w:p w:rsidR="00000000" w:rsidDel="00000000" w:rsidP="00000000" w:rsidRDefault="00000000" w:rsidRPr="00000000" w14:paraId="000001B4">
      <w:pPr>
        <w:numPr>
          <w:ilvl w:val="0"/>
          <w:numId w:val="1"/>
        </w:numPr>
        <w:spacing w:after="0" w:before="240" w:line="240" w:lineRule="auto"/>
        <w:ind w:left="720" w:hanging="360"/>
      </w:pPr>
      <w:r w:rsidDel="00000000" w:rsidR="00000000" w:rsidRPr="00000000">
        <w:rPr>
          <w:rtl w:val="0"/>
        </w:rPr>
        <w:t xml:space="preserve">[X] KIIs</w:t>
      </w:r>
    </w:p>
    <w:p w:rsidR="00000000" w:rsidDel="00000000" w:rsidP="00000000" w:rsidRDefault="00000000" w:rsidRPr="00000000" w14:paraId="000001B5">
      <w:pPr>
        <w:numPr>
          <w:ilvl w:val="0"/>
          <w:numId w:val="1"/>
        </w:numPr>
        <w:spacing w:after="0" w:line="240" w:lineRule="auto"/>
        <w:ind w:left="720" w:hanging="360"/>
      </w:pPr>
      <w:r w:rsidDel="00000000" w:rsidR="00000000" w:rsidRPr="00000000">
        <w:rPr>
          <w:rtl w:val="0"/>
        </w:rPr>
        <w:t xml:space="preserve">[X] FGDs</w:t>
      </w:r>
    </w:p>
    <w:p w:rsidR="00000000" w:rsidDel="00000000" w:rsidP="00000000" w:rsidRDefault="00000000" w:rsidRPr="00000000" w14:paraId="000001B6">
      <w:pPr>
        <w:numPr>
          <w:ilvl w:val="0"/>
          <w:numId w:val="1"/>
        </w:numPr>
        <w:spacing w:after="0" w:line="240" w:lineRule="auto"/>
        <w:ind w:left="720" w:hanging="360"/>
      </w:pPr>
      <w:r w:rsidDel="00000000" w:rsidR="00000000" w:rsidRPr="00000000">
        <w:rPr>
          <w:rtl w:val="0"/>
        </w:rPr>
        <w:t xml:space="preserve">[X] Project documents</w:t>
      </w:r>
    </w:p>
    <w:p w:rsidR="00000000" w:rsidDel="00000000" w:rsidP="00000000" w:rsidRDefault="00000000" w:rsidRPr="00000000" w14:paraId="000001B7">
      <w:pPr>
        <w:numPr>
          <w:ilvl w:val="0"/>
          <w:numId w:val="1"/>
        </w:numPr>
        <w:spacing w:after="0" w:line="240" w:lineRule="auto"/>
        <w:ind w:left="720" w:hanging="360"/>
      </w:pPr>
      <w:r w:rsidDel="00000000" w:rsidR="00000000" w:rsidRPr="00000000">
        <w:rPr>
          <w:rtl w:val="0"/>
        </w:rPr>
        <w:t xml:space="preserve">[ ] Observation</w:t>
      </w:r>
    </w:p>
    <w:p w:rsidR="00000000" w:rsidDel="00000000" w:rsidP="00000000" w:rsidRDefault="00000000" w:rsidRPr="00000000" w14:paraId="000001B8">
      <w:pPr>
        <w:numPr>
          <w:ilvl w:val="0"/>
          <w:numId w:val="1"/>
        </w:numPr>
        <w:spacing w:after="240" w:line="240" w:lineRule="auto"/>
        <w:ind w:left="720" w:hanging="360"/>
      </w:pPr>
      <w:r w:rsidDel="00000000" w:rsidR="00000000" w:rsidRPr="00000000">
        <w:rPr>
          <w:rtl w:val="0"/>
        </w:rPr>
        <w:t xml:space="preserve">[ ] Other:</w:t>
      </w:r>
    </w:p>
    <w:p w:rsidR="00000000" w:rsidDel="00000000" w:rsidP="00000000" w:rsidRDefault="00000000" w:rsidRPr="00000000" w14:paraId="000001B9">
      <w:pPr>
        <w:spacing w:after="240" w:line="240" w:lineRule="auto"/>
        <w:rPr/>
        <w:sectPr>
          <w:type w:val="nextPage"/>
          <w:pgSz w:h="16838" w:w="11906" w:orient="portrait"/>
          <w:pgMar w:bottom="1985" w:top="1701" w:left="1701" w:right="1701" w:header="709" w:footer="567"/>
        </w:sectPr>
      </w:pPr>
      <w:r w:rsidDel="00000000" w:rsidR="00000000" w:rsidRPr="00000000">
        <w:rPr>
          <w:rtl w:val="0"/>
        </w:rPr>
      </w:r>
    </w:p>
    <w:p w:rsidR="00000000" w:rsidDel="00000000" w:rsidP="00000000" w:rsidRDefault="00000000" w:rsidRPr="00000000" w14:paraId="000001BA">
      <w:pPr>
        <w:pStyle w:val="Heading1"/>
        <w:ind w:left="0" w:firstLine="0"/>
        <w:rPr/>
      </w:pPr>
      <w:r w:rsidDel="00000000" w:rsidR="00000000" w:rsidRPr="00000000">
        <w:rPr>
          <w:rtl w:val="0"/>
        </w:rPr>
      </w:r>
    </w:p>
    <w:sectPr>
      <w:headerReference r:id="rId11" w:type="default"/>
      <w:footerReference r:id="rId12" w:type="default"/>
      <w:type w:val="nextPage"/>
      <w:pgSz w:h="16838" w:w="11906" w:orient="portrait"/>
      <w:pgMar w:bottom="1588" w:top="1985" w:left="1985" w:right="1985"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Libre Franklin">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re Franklin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D">
    <w:pPr>
      <w:pBdr>
        <w:top w:space="0" w:sz="0" w:val="nil"/>
        <w:left w:space="0" w:sz="0" w:val="nil"/>
        <w:bottom w:space="0" w:sz="0" w:val="nil"/>
        <w:right w:space="0" w:sz="0" w:val="nil"/>
        <w:between w:space="0" w:sz="0" w:val="nil"/>
      </w:pBdr>
      <w:tabs>
        <w:tab w:val="right" w:leader="none" w:pos="3827"/>
        <w:tab w:val="center" w:leader="none" w:pos="4491"/>
        <w:tab w:val="left" w:leader="none" w:pos="5160"/>
      </w:tabs>
      <w:spacing w:after="0" w:line="240" w:lineRule="auto"/>
      <w:jc w:val="center"/>
      <w:rPr>
        <w:smallCaps w:val="1"/>
        <w:sz w:val="18"/>
        <w:szCs w:val="18"/>
      </w:rPr>
    </w:pPr>
    <w:r w:rsidDel="00000000" w:rsidR="00000000" w:rsidRPr="00000000">
      <w:rPr>
        <w:smallCaps w:val="1"/>
        <w:sz w:val="18"/>
        <w:szCs w:val="18"/>
        <w:rtl w:val="0"/>
      </w:rPr>
      <w:t xml:space="preserve">Data Collection tools |7th  February 2026 | page </w:t>
    </w:r>
    <w:r w:rsidDel="00000000" w:rsidR="00000000" w:rsidRPr="00000000">
      <w:rPr>
        <w:smallCaps w:val="1"/>
        <w:sz w:val="18"/>
        <w:szCs w:val="18"/>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E">
    <w:pPr>
      <w:pBdr>
        <w:top w:space="0" w:sz="0" w:val="nil"/>
        <w:left w:space="0" w:sz="0" w:val="nil"/>
        <w:bottom w:space="0" w:sz="0" w:val="nil"/>
        <w:right w:space="0" w:sz="0" w:val="nil"/>
        <w:between w:space="0" w:sz="0" w:val="nil"/>
      </w:pBdr>
      <w:tabs>
        <w:tab w:val="right" w:leader="none" w:pos="3827"/>
        <w:tab w:val="center" w:leader="none" w:pos="4491"/>
        <w:tab w:val="left" w:leader="none" w:pos="5160"/>
      </w:tabs>
      <w:spacing w:after="0" w:line="240" w:lineRule="auto"/>
      <w:rPr>
        <w:smallCaps w:val="1"/>
        <w:sz w:val="18"/>
        <w:szCs w:val="18"/>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B">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C">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pPr>
    <w:r w:rsidDel="00000000" w:rsidR="00000000" w:rsidRPr="00000000">
      <w:rPr/>
      <w:drawing>
        <wp:anchor allowOverlap="1" behindDoc="1" distB="0" distT="0" distL="0" distR="0" hidden="0" layoutInCell="1" locked="0" relativeHeight="0" simplePos="0">
          <wp:simplePos x="0" y="0"/>
          <wp:positionH relativeFrom="margin">
            <wp:align>center</wp:align>
          </wp:positionH>
          <wp:positionV relativeFrom="margin">
            <wp:posOffset>3128261</wp:posOffset>
          </wp:positionV>
          <wp:extent cx="1444633" cy="1261768"/>
          <wp:effectExtent b="0" l="0" r="0" t="0"/>
          <wp:wrapNone/>
          <wp:docPr id="4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444633" cy="1261768"/>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re Franklin" w:cs="Libre Franklin" w:eastAsia="Libre Franklin" w:hAnsi="Libre Franklin"/>
        <w:color w:val="464645"/>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Bdr>
        <w:top w:color="ff7602" w:space="6" w:sz="4" w:val="single"/>
      </w:pBdr>
      <w:spacing w:after="480" w:before="240" w:lineRule="auto"/>
      <w:ind w:left="680" w:hanging="680"/>
    </w:pPr>
    <w:rPr>
      <w:color w:val="ff7602"/>
      <w:sz w:val="36"/>
      <w:szCs w:val="36"/>
    </w:rPr>
  </w:style>
  <w:style w:type="paragraph" w:styleId="Heading2">
    <w:name w:val="heading 2"/>
    <w:basedOn w:val="Normal"/>
    <w:next w:val="Normal"/>
    <w:pPr>
      <w:keepNext w:val="1"/>
      <w:keepLines w:val="1"/>
      <w:spacing w:after="200" w:before="400" w:lineRule="auto"/>
      <w:ind w:left="737" w:hanging="737"/>
    </w:pPr>
    <w:rPr>
      <w:color w:val="a6a6a5"/>
      <w:sz w:val="32"/>
      <w:szCs w:val="32"/>
    </w:rPr>
  </w:style>
  <w:style w:type="paragraph" w:styleId="Heading3">
    <w:name w:val="heading 3"/>
    <w:basedOn w:val="Normal"/>
    <w:next w:val="Normal"/>
    <w:pPr>
      <w:keepNext w:val="1"/>
      <w:keepLines w:val="1"/>
      <w:spacing w:after="40" w:before="200" w:lineRule="auto"/>
      <w:ind w:left="680" w:hanging="680"/>
    </w:pPr>
    <w:rPr>
      <w:rFonts w:ascii="Libre Franklin Medium" w:cs="Libre Franklin Medium" w:eastAsia="Libre Franklin Medium" w:hAnsi="Libre Franklin Medium"/>
    </w:rPr>
  </w:style>
  <w:style w:type="paragraph" w:styleId="Heading4">
    <w:name w:val="heading 4"/>
    <w:basedOn w:val="Normal"/>
    <w:next w:val="Normal"/>
    <w:pPr>
      <w:keepNext w:val="1"/>
      <w:keepLines w:val="1"/>
      <w:spacing w:after="40" w:before="200" w:lineRule="auto"/>
    </w:pPr>
    <w:rPr>
      <w:rFonts w:ascii="Libre Franklin Medium" w:cs="Libre Franklin Medium" w:eastAsia="Libre Franklin Medium" w:hAnsi="Libre Franklin Medium"/>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pBdr>
        <w:top w:color="000000" w:space="0" w:sz="0" w:val="none"/>
      </w:pBdr>
      <w:spacing w:after="120" w:line="240" w:lineRule="auto"/>
      <w:ind w:left="1080" w:hanging="1221"/>
    </w:pPr>
    <w:rPr>
      <w:b w:val="1"/>
      <w:bCs w:val="1"/>
      <w:color w:val="ff7602"/>
      <w:sz w:val="22"/>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0"/>
    <w:tblPr>
      <w:tblCellMar>
        <w:top w:w="100.0" w:type="dxa"/>
        <w:left w:w="100.0" w:type="dxa"/>
        <w:bottom w:w="100.0" w:type="dxa"/>
        <w:right w:w="100.0" w:type="dxa"/>
      </w:tblCellMar>
    </w:tblPr>
  </w:style>
  <w:style w:type="table" w:styleId="TableNormal2" w:customStyle="1">
    <w:name w:val="TableNormal1"/>
    <w:tblPr>
      <w:tblCellMar>
        <w:top w:w="100.0" w:type="dxa"/>
        <w:left w:w="100.0" w:type="dxa"/>
        <w:bottom w:w="100.0" w:type="dxa"/>
        <w:right w:w="100.0" w:type="dxa"/>
      </w:tblCellMar>
    </w:tblPr>
  </w:style>
  <w:style w:type="table" w:styleId="TableNormal3" w:customStyle="1">
    <w:name w:val="TableNormal2"/>
    <w:tblPr>
      <w:tblCellMar>
        <w:top w:w="100.0" w:type="dxa"/>
        <w:left w:w="100.0" w:type="dxa"/>
        <w:bottom w:w="100.0" w:type="dxa"/>
        <w:right w:w="100.0" w:type="dxa"/>
      </w:tblCellMar>
    </w:tblPr>
  </w:style>
  <w:style w:type="table" w:styleId="TableNormal4" w:customStyle="1">
    <w:name w:val="TableNormal3"/>
    <w:tblPr>
      <w:tblCellMar>
        <w:top w:w="100.0" w:type="dxa"/>
        <w:left w:w="100.0" w:type="dxa"/>
        <w:bottom w:w="100.0" w:type="dxa"/>
        <w:right w:w="100.0" w:type="dxa"/>
      </w:tblCellMar>
    </w:tblPr>
  </w:style>
  <w:style w:type="table" w:styleId="TableNormal5" w:customStyle="1">
    <w:name w:val="TableNormal4"/>
    <w:tblPr>
      <w:tblCellMar>
        <w:top w:w="100.0" w:type="dxa"/>
        <w:left w:w="100.0" w:type="dxa"/>
        <w:bottom w:w="100.0" w:type="dxa"/>
        <w:right w:w="100.0" w:type="dxa"/>
      </w:tblCellMar>
    </w:tblPr>
  </w:style>
  <w:style w:type="table" w:styleId="TableNormal6" w:customStyle="1">
    <w:name w:val="TableNormal5"/>
    <w:tblPr>
      <w:tblCellMar>
        <w:top w:w="100.0" w:type="dxa"/>
        <w:left w:w="100.0" w:type="dxa"/>
        <w:bottom w:w="100.0" w:type="dxa"/>
        <w:right w:w="100.0" w:type="dxa"/>
      </w:tblCellMar>
    </w:tblPr>
  </w:style>
  <w:style w:type="table" w:styleId="TableNormal7" w:customStyle="1">
    <w:name w:val="TableNormal6"/>
    <w:tblPr>
      <w:tblCellMar>
        <w:top w:w="100.0" w:type="dxa"/>
        <w:left w:w="100.0" w:type="dxa"/>
        <w:bottom w:w="100.0" w:type="dxa"/>
        <w:right w:w="100.0" w:type="dxa"/>
      </w:tblCellMar>
    </w:tblPr>
  </w:style>
  <w:style w:type="character" w:styleId="Heading1Char" w:customStyle="1">
    <w:name w:val="Heading 1 Char"/>
    <w:basedOn w:val="DefaultParagraphFont"/>
    <w:link w:val="Heading1"/>
    <w:uiPriority w:val="9"/>
    <w:rsid w:val="004A7E1D"/>
    <w:rPr>
      <w:rFonts w:asciiTheme="majorHAnsi" w:cstheme="majorBidi" w:eastAsiaTheme="majorEastAsia" w:hAnsiTheme="majorHAnsi"/>
      <w:color w:val="ff7602" w:themeColor="accent1"/>
      <w:sz w:val="36"/>
      <w:szCs w:val="32"/>
      <w:lang w:val="en-GB"/>
    </w:rPr>
  </w:style>
  <w:style w:type="character" w:styleId="Heading2Char" w:customStyle="1">
    <w:name w:val="Heading 2 Char"/>
    <w:basedOn w:val="DefaultParagraphFont"/>
    <w:link w:val="Heading2"/>
    <w:uiPriority w:val="9"/>
    <w:rsid w:val="00D87443"/>
    <w:rPr>
      <w:rFonts w:asciiTheme="majorHAnsi" w:cstheme="majorBidi" w:eastAsiaTheme="majorEastAsia" w:hAnsiTheme="majorHAnsi"/>
      <w:color w:val="a6a6a5" w:themeColor="text2"/>
      <w:sz w:val="32"/>
      <w:szCs w:val="26"/>
      <w:lang w:val="en-GB"/>
    </w:rPr>
  </w:style>
  <w:style w:type="character" w:styleId="Heading3Char" w:customStyle="1">
    <w:name w:val="Heading 3 Char"/>
    <w:basedOn w:val="DefaultParagraphFont"/>
    <w:link w:val="Heading3"/>
    <w:uiPriority w:val="9"/>
    <w:rsid w:val="0062174F"/>
    <w:rPr>
      <w:rFonts w:ascii="Franklin Gothic Medium" w:hAnsi="Franklin Gothic Medium" w:cstheme="majorBidi" w:eastAsiaTheme="majorEastAsia"/>
      <w:color w:val="464645" w:themeColor="text1"/>
      <w:sz w:val="20"/>
      <w:szCs w:val="24"/>
      <w:lang w:val="en-GB"/>
    </w:rPr>
  </w:style>
  <w:style w:type="character" w:styleId="Heading4Char" w:customStyle="1">
    <w:name w:val="Heading 4 Char"/>
    <w:basedOn w:val="DefaultParagraphFont"/>
    <w:link w:val="Heading4"/>
    <w:uiPriority w:val="9"/>
    <w:rsid w:val="0062174F"/>
    <w:rPr>
      <w:rFonts w:ascii="Franklin Gothic Medium" w:hAnsi="Franklin Gothic Medium" w:cstheme="majorBidi" w:eastAsiaTheme="majorEastAsia"/>
      <w:iCs w:val="1"/>
      <w:color w:val="464645" w:themeColor="text1"/>
      <w:sz w:val="20"/>
      <w:lang w:val="en-GB"/>
    </w:rPr>
  </w:style>
  <w:style w:type="paragraph" w:styleId="IngressNRC" w:customStyle="1">
    <w:name w:val="Ingress NRC"/>
    <w:basedOn w:val="Normal"/>
    <w:qFormat w:val="1"/>
    <w:rsid w:val="007B7F17"/>
    <w:pPr>
      <w:spacing w:after="960"/>
    </w:pPr>
    <w:rPr>
      <w:sz w:val="24"/>
    </w:rPr>
  </w:style>
  <w:style w:type="paragraph" w:styleId="ListBullet">
    <w:name w:val="List Bullet"/>
    <w:aliases w:val="Bullet list NRC"/>
    <w:basedOn w:val="Normal"/>
    <w:uiPriority w:val="99"/>
    <w:qFormat w:val="1"/>
    <w:rsid w:val="00A90369"/>
    <w:pPr>
      <w:numPr>
        <w:numId w:val="3"/>
      </w:numPr>
      <w:spacing w:after="80"/>
      <w:ind w:left="340" w:hanging="340"/>
    </w:pPr>
  </w:style>
  <w:style w:type="paragraph" w:styleId="ListParagraph">
    <w:name w:val="List Paragraph"/>
    <w:aliases w:val="List NRC,Paragraph,Premier,Paragraphe de liste1,Bullets,List Paragraph (numbered (a)),Lapis Bulleted List,stil3,normal,References,Liste 1,Numbered List Paragraph,ReferencesCxSpLast,Normal1,List Paragraph1,Paragrafo elenco,Normal11,Normal2"/>
    <w:basedOn w:val="Normal"/>
    <w:link w:val="ListParagraphChar"/>
    <w:uiPriority w:val="34"/>
    <w:qFormat w:val="1"/>
    <w:rsid w:val="00912719"/>
    <w:pPr>
      <w:numPr>
        <w:numId w:val="4"/>
      </w:numPr>
      <w:spacing w:after="80"/>
    </w:pPr>
  </w:style>
  <w:style w:type="paragraph" w:styleId="Quote">
    <w:name w:val="Quote"/>
    <w:aliases w:val="Quote NRC"/>
    <w:basedOn w:val="Normal"/>
    <w:next w:val="Normal"/>
    <w:link w:val="QuoteChar"/>
    <w:uiPriority w:val="29"/>
    <w:qFormat w:val="1"/>
    <w:rsid w:val="00912719"/>
    <w:pPr>
      <w:spacing w:after="240" w:before="240"/>
    </w:pPr>
    <w:rPr>
      <w:rFonts w:ascii="Garamond" w:hAnsi="Garamond"/>
      <w:i w:val="1"/>
      <w:iCs w:val="1"/>
      <w:sz w:val="32"/>
    </w:rPr>
  </w:style>
  <w:style w:type="character" w:styleId="QuoteChar" w:customStyle="1">
    <w:name w:val="Quote Char"/>
    <w:aliases w:val="Quote NRC Char"/>
    <w:basedOn w:val="DefaultParagraphFont"/>
    <w:link w:val="Quote"/>
    <w:uiPriority w:val="29"/>
    <w:rsid w:val="00912719"/>
    <w:rPr>
      <w:rFonts w:ascii="Garamond" w:hAnsi="Garamond"/>
      <w:i w:val="1"/>
      <w:iCs w:val="1"/>
      <w:color w:val="464645" w:themeColor="text1"/>
      <w:sz w:val="32"/>
      <w:lang w:val="en-GB"/>
    </w:rPr>
  </w:style>
  <w:style w:type="paragraph" w:styleId="Header">
    <w:name w:val="header"/>
    <w:basedOn w:val="Normal"/>
    <w:link w:val="HeaderChar"/>
    <w:uiPriority w:val="99"/>
    <w:semiHidden w:val="1"/>
    <w:rsid w:val="0062174F"/>
    <w:pPr>
      <w:tabs>
        <w:tab w:val="center" w:pos="4513"/>
        <w:tab w:val="right" w:pos="9026"/>
      </w:tabs>
      <w:spacing w:after="0" w:line="240" w:lineRule="auto"/>
    </w:pPr>
  </w:style>
  <w:style w:type="character" w:styleId="HeaderChar" w:customStyle="1">
    <w:name w:val="Header Char"/>
    <w:basedOn w:val="DefaultParagraphFont"/>
    <w:link w:val="Header"/>
    <w:uiPriority w:val="99"/>
    <w:semiHidden w:val="1"/>
    <w:rsid w:val="003F575E"/>
    <w:rPr>
      <w:color w:val="464645" w:themeColor="text1"/>
      <w:sz w:val="20"/>
      <w:lang w:val="en-GB"/>
    </w:rPr>
  </w:style>
  <w:style w:type="paragraph" w:styleId="Footer">
    <w:name w:val="footer"/>
    <w:basedOn w:val="Normal"/>
    <w:link w:val="FooterChar"/>
    <w:uiPriority w:val="99"/>
    <w:semiHidden w:val="1"/>
    <w:rsid w:val="009F049D"/>
    <w:pPr>
      <w:tabs>
        <w:tab w:val="right" w:pos="3827"/>
        <w:tab w:val="center" w:pos="4491"/>
        <w:tab w:val="left" w:pos="5160"/>
      </w:tabs>
      <w:spacing w:after="0" w:line="240" w:lineRule="auto"/>
      <w:jc w:val="center"/>
    </w:pPr>
    <w:rPr>
      <w:caps w:val="1"/>
      <w:sz w:val="18"/>
    </w:rPr>
  </w:style>
  <w:style w:type="character" w:styleId="FooterChar" w:customStyle="1">
    <w:name w:val="Footer Char"/>
    <w:basedOn w:val="DefaultParagraphFont"/>
    <w:link w:val="Footer"/>
    <w:uiPriority w:val="99"/>
    <w:semiHidden w:val="1"/>
    <w:rsid w:val="003F575E"/>
    <w:rPr>
      <w:caps w:val="1"/>
      <w:color w:val="464645" w:themeColor="text1"/>
      <w:sz w:val="18"/>
      <w:lang w:val="en-GB"/>
    </w:rPr>
  </w:style>
  <w:style w:type="table" w:styleId="TableGrid">
    <w:name w:val="Table Grid"/>
    <w:basedOn w:val="TableNormal"/>
    <w:uiPriority w:val="39"/>
    <w:rsid w:val="00912719"/>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NRCTabelll" w:customStyle="1">
    <w:name w:val="NRC Tabelll"/>
    <w:basedOn w:val="TableNormal"/>
    <w:uiPriority w:val="99"/>
    <w:rsid w:val="003162AD"/>
    <w:pPr>
      <w:spacing w:after="0" w:line="240" w:lineRule="auto"/>
      <w:jc w:val="center"/>
    </w:pPr>
    <w:rPr>
      <w:sz w:val="18"/>
    </w:rPr>
    <w:tblPr>
      <w:tblStyleRowBandSize w:val="1"/>
      <w:tblBorders>
        <w:top w:color="464645" w:space="0" w:sz="2" w:themeColor="text1" w:val="single"/>
        <w:bottom w:color="464645" w:space="0" w:sz="2" w:themeColor="text1" w:val="single"/>
      </w:tblBorders>
      <w:tblCellMar>
        <w:top w:w="57.0" w:type="dxa"/>
        <w:left w:w="0.0" w:type="dxa"/>
        <w:bottom w:w="57.0" w:type="dxa"/>
        <w:right w:w="57.0" w:type="dxa"/>
      </w:tblCellMar>
    </w:tblPr>
    <w:tcPr>
      <w:vAlign w:val="center"/>
    </w:tcPr>
    <w:tblStylePr w:type="firstRow">
      <w:rPr>
        <w:rFonts w:ascii="Microsoft New Tai Lue" w:hAnsi="Microsoft New Tai Lue"/>
        <w:sz w:val="18"/>
      </w:rPr>
      <w:tblPr/>
      <w:tcPr>
        <w:tcBorders>
          <w:top w:space="0" w:sz="0" w:val="nil"/>
          <w:left w:space="0" w:sz="0" w:val="nil"/>
          <w:bottom w:color="464645" w:space="0" w:sz="4" w:themeColor="text1" w:val="single"/>
          <w:right w:space="0" w:sz="0" w:val="nil"/>
          <w:insideH w:space="0" w:sz="0" w:val="nil"/>
          <w:insideV w:space="0" w:sz="0" w:val="nil"/>
          <w:tl2br w:space="0" w:sz="0" w:val="nil"/>
          <w:tr2bl w:space="0" w:sz="0" w:val="nil"/>
        </w:tcBorders>
      </w:tcPr>
    </w:tblStylePr>
    <w:tblStylePr w:type="lastRow">
      <w:pPr>
        <w:jc w:val="left"/>
      </w:pPr>
      <w:rPr>
        <w:rFonts w:asciiTheme="minorHAnsi" w:hAnsiTheme="minorHAnsi"/>
        <w:sz w:val="16"/>
      </w:rPr>
      <w:tblPr/>
      <w:tcPr>
        <w:tcBorders>
          <w:top w:color="464645" w:space="0" w:sz="4" w:themeColor="text1" w:val="single"/>
          <w:left w:space="0" w:sz="0" w:val="nil"/>
          <w:bottom w:space="0" w:sz="0" w:val="nil"/>
          <w:right w:space="0" w:sz="0" w:val="nil"/>
          <w:insideH w:space="0" w:sz="0" w:val="nil"/>
          <w:insideV w:space="0" w:sz="0" w:val="nil"/>
          <w:tl2br w:space="0" w:sz="0" w:val="nil"/>
          <w:tr2bl w:space="0" w:sz="0" w:val="nil"/>
        </w:tcBorders>
      </w:tcPr>
    </w:tblStylePr>
    <w:tblStylePr w:type="firstCol">
      <w:pPr>
        <w:jc w:val="left"/>
      </w:pPr>
      <w:rPr>
        <w:rFonts w:ascii="Microsoft New Tai Lue" w:hAnsi="Microsoft New Tai Lue"/>
        <w:sz w:val="18"/>
      </w:rPr>
    </w:tblStylePr>
    <w:tblStylePr w:type="band1Horz">
      <w:tblPr/>
      <w:tcPr>
        <w:tcBorders>
          <w:bottom w:color="a6a6a5" w:space="0" w:sz="4" w:themeColor="text2" w:val="single"/>
        </w:tcBorders>
      </w:tcPr>
    </w:tblStylePr>
    <w:tblStylePr w:type="band2Horz">
      <w:tblPr/>
      <w:tcPr>
        <w:tcBorders>
          <w:bottom w:color="a6a6a5" w:space="0" w:sz="4" w:themeColor="text2" w:val="single"/>
        </w:tcBorders>
      </w:tcPr>
    </w:tblStylePr>
  </w:style>
  <w:style w:type="paragraph" w:styleId="TableheadingNRC" w:customStyle="1">
    <w:name w:val="Tableheading NRC"/>
    <w:basedOn w:val="Heading4"/>
    <w:qFormat w:val="1"/>
    <w:rsid w:val="00A057B6"/>
    <w:rPr>
      <w:caps w:val="1"/>
    </w:rPr>
  </w:style>
  <w:style w:type="character" w:styleId="TitleChar" w:customStyle="1">
    <w:name w:val="Title Char"/>
    <w:basedOn w:val="DefaultParagraphFont"/>
    <w:link w:val="Title"/>
    <w:uiPriority w:val="10"/>
    <w:rsid w:val="00F211E1"/>
    <w:rPr>
      <w:rFonts w:ascii="Franklin Gothic Medium" w:hAnsi="Franklin Gothic Medium" w:cstheme="majorBidi" w:eastAsiaTheme="majorEastAsia"/>
      <w:color w:val="ffffff" w:themeColor="background1"/>
      <w:kern w:val="28"/>
      <w:sz w:val="72"/>
      <w:szCs w:val="56"/>
      <w:lang w:val="en-GB"/>
    </w:rPr>
  </w:style>
  <w:style w:type="character" w:styleId="SubtitleChar" w:customStyle="1">
    <w:name w:val="Subtitle Char"/>
    <w:basedOn w:val="DefaultParagraphFont"/>
    <w:link w:val="Subtitle"/>
    <w:uiPriority w:val="11"/>
    <w:rsid w:val="00F211E1"/>
    <w:rPr>
      <w:rFonts w:eastAsiaTheme="minorEastAsia"/>
      <w:color w:val="464645" w:themeColor="text1"/>
      <w:sz w:val="24"/>
      <w:lang w:val="en-GB"/>
    </w:rPr>
  </w:style>
  <w:style w:type="character" w:styleId="PlaceholderText">
    <w:name w:val="Placeholder Text"/>
    <w:basedOn w:val="DefaultParagraphFont"/>
    <w:uiPriority w:val="99"/>
    <w:semiHidden w:val="1"/>
    <w:rsid w:val="00091EBF"/>
    <w:rPr>
      <w:color w:val="808080"/>
    </w:rPr>
  </w:style>
  <w:style w:type="paragraph" w:styleId="FrontpagetextNRC" w:customStyle="1">
    <w:name w:val="Frontpagetext NRC"/>
    <w:basedOn w:val="Normal"/>
    <w:qFormat w:val="1"/>
    <w:rsid w:val="00F211E1"/>
    <w:pPr>
      <w:framePr w:lines="0" w:hSpace="142" w:wrap="around" w:hAnchor="margin" w:vAnchor="page" w:y="10859"/>
      <w:spacing w:after="0" w:before="240" w:line="240" w:lineRule="auto"/>
      <w:suppressOverlap w:val="1"/>
    </w:pPr>
    <w:rPr>
      <w:rFonts w:ascii="Franklin Gothic Medium" w:hAnsi="Franklin Gothic Medium"/>
      <w:caps w:val="1"/>
      <w:color w:val="ff7602" w:themeColor="accent1"/>
      <w:sz w:val="18"/>
      <w:lang w:val="nb-NO"/>
    </w:rPr>
  </w:style>
  <w:style w:type="paragraph" w:styleId="TOC2">
    <w:name w:val="toc 2"/>
    <w:basedOn w:val="Normal"/>
    <w:next w:val="Normal"/>
    <w:autoRedefine w:val="1"/>
    <w:uiPriority w:val="39"/>
    <w:semiHidden w:val="1"/>
    <w:rsid w:val="00D87443"/>
    <w:pPr>
      <w:tabs>
        <w:tab w:val="right" w:pos="7926"/>
      </w:tabs>
      <w:spacing w:after="0"/>
      <w:ind w:left="924" w:hanging="567"/>
      <w:contextualSpacing w:val="1"/>
    </w:pPr>
  </w:style>
  <w:style w:type="paragraph" w:styleId="TOC1">
    <w:name w:val="toc 1"/>
    <w:basedOn w:val="Normal"/>
    <w:next w:val="Normal"/>
    <w:autoRedefine w:val="1"/>
    <w:uiPriority w:val="39"/>
    <w:semiHidden w:val="1"/>
    <w:rsid w:val="00D87443"/>
    <w:pPr>
      <w:tabs>
        <w:tab w:val="right" w:pos="7926"/>
      </w:tabs>
      <w:spacing w:after="80" w:before="160"/>
      <w:ind w:left="357" w:hanging="357"/>
    </w:pPr>
  </w:style>
  <w:style w:type="paragraph" w:styleId="TOC3">
    <w:name w:val="toc 3"/>
    <w:basedOn w:val="Normal"/>
    <w:next w:val="Normal"/>
    <w:autoRedefine w:val="1"/>
    <w:uiPriority w:val="39"/>
    <w:semiHidden w:val="1"/>
    <w:rsid w:val="00CB6097"/>
    <w:pPr>
      <w:tabs>
        <w:tab w:val="left" w:pos="1320"/>
        <w:tab w:val="right" w:pos="7926"/>
      </w:tabs>
      <w:spacing w:after="0"/>
      <w:ind w:left="1474" w:hanging="567"/>
      <w:contextualSpacing w:val="1"/>
    </w:pPr>
  </w:style>
  <w:style w:type="character" w:styleId="Hyperlink">
    <w:name w:val="Hyperlink"/>
    <w:basedOn w:val="DefaultParagraphFont"/>
    <w:uiPriority w:val="99"/>
    <w:semiHidden w:val="1"/>
    <w:rsid w:val="004B5714"/>
    <w:rPr>
      <w:color w:val="0563c1" w:themeColor="hyperlink"/>
      <w:u w:val="single"/>
    </w:rPr>
  </w:style>
  <w:style w:type="table" w:styleId="ForsideTabell" w:customStyle="1">
    <w:name w:val="ForsideTabell"/>
    <w:basedOn w:val="TableNormal"/>
    <w:uiPriority w:val="99"/>
    <w:rsid w:val="00E14EEF"/>
    <w:pPr>
      <w:spacing w:after="0" w:line="240" w:lineRule="auto"/>
    </w:pPr>
    <w:tblPr>
      <w:tblCellMar>
        <w:left w:w="0.0" w:type="dxa"/>
        <w:right w:w="0.0" w:type="dxa"/>
      </w:tblCellMar>
    </w:tblPr>
  </w:style>
  <w:style w:type="paragraph" w:styleId="FootnoteText">
    <w:name w:val="footnote text"/>
    <w:aliases w:val="Footnote text NRC"/>
    <w:basedOn w:val="Normal"/>
    <w:link w:val="FootnoteTextChar"/>
    <w:uiPriority w:val="99"/>
    <w:qFormat w:val="1"/>
    <w:rsid w:val="00FC707B"/>
    <w:pPr>
      <w:spacing w:after="0" w:line="240" w:lineRule="auto"/>
    </w:pPr>
    <w:rPr>
      <w:sz w:val="16"/>
    </w:rPr>
  </w:style>
  <w:style w:type="character" w:styleId="FootnoteTextChar" w:customStyle="1">
    <w:name w:val="Footnote Text Char"/>
    <w:aliases w:val="Footnote text NRC Char"/>
    <w:basedOn w:val="DefaultParagraphFont"/>
    <w:link w:val="FootnoteText"/>
    <w:uiPriority w:val="99"/>
    <w:rsid w:val="00FC707B"/>
    <w:rPr>
      <w:color w:val="464645" w:themeColor="text1"/>
      <w:sz w:val="16"/>
      <w:szCs w:val="20"/>
      <w:lang w:val="en-GB"/>
    </w:rPr>
  </w:style>
  <w:style w:type="character" w:styleId="FootnoteReference">
    <w:name w:val="footnote reference"/>
    <w:basedOn w:val="DefaultParagraphFont"/>
    <w:uiPriority w:val="99"/>
    <w:semiHidden w:val="1"/>
    <w:unhideWhenUsed w:val="1"/>
    <w:rsid w:val="00FC707B"/>
    <w:rPr>
      <w:vertAlign w:val="superscript"/>
    </w:rPr>
  </w:style>
  <w:style w:type="table" w:styleId="Forsidestil" w:customStyle="1">
    <w:name w:val="Forsidestil"/>
    <w:basedOn w:val="TableNormal"/>
    <w:uiPriority w:val="99"/>
    <w:rsid w:val="003637EE"/>
    <w:pPr>
      <w:spacing w:after="0" w:line="240" w:lineRule="auto"/>
    </w:pPr>
    <w:tblPr>
      <w:tblCellMar>
        <w:left w:w="0.0" w:type="dxa"/>
        <w:right w:w="0.0" w:type="dxa"/>
      </w:tblCellMar>
    </w:tblPr>
    <w:tcPr>
      <w:vAlign w:val="bottom"/>
    </w:tcPr>
    <w:tblStylePr w:type="firstRow">
      <w:tblPr/>
      <w:tcPr>
        <w:shd w:color="auto" w:fill="464645" w:themeFill="text1" w:val="clear"/>
      </w:tcPr>
    </w:tblStylePr>
  </w:style>
  <w:style w:type="paragraph" w:styleId="Caption">
    <w:name w:val="caption"/>
    <w:aliases w:val="Caption NRC"/>
    <w:basedOn w:val="Normal"/>
    <w:next w:val="Normal"/>
    <w:uiPriority w:val="35"/>
    <w:qFormat w:val="1"/>
    <w:rsid w:val="001B6690"/>
    <w:pPr>
      <w:spacing w:after="200" w:line="240" w:lineRule="auto"/>
    </w:pPr>
    <w:rPr>
      <w:i w:val="1"/>
      <w:iCs w:val="1"/>
      <w:sz w:val="16"/>
      <w:szCs w:val="18"/>
    </w:rPr>
  </w:style>
  <w:style w:type="character" w:styleId="Strong">
    <w:name w:val="Strong"/>
    <w:aliases w:val="Strong NRC"/>
    <w:basedOn w:val="DefaultParagraphFont"/>
    <w:uiPriority w:val="22"/>
    <w:qFormat w:val="1"/>
    <w:rsid w:val="00B14103"/>
    <w:rPr>
      <w:rFonts w:ascii="Franklin Gothic Medium" w:hAnsi="Franklin Gothic Medium"/>
      <w:b w:val="0"/>
      <w:bCs w:val="1"/>
    </w:rPr>
  </w:style>
  <w:style w:type="paragraph" w:styleId="Tableheading" w:customStyle="1">
    <w:name w:val="Tableheading"/>
    <w:basedOn w:val="Heading4"/>
    <w:semiHidden w:val="1"/>
    <w:rsid w:val="007F0D7F"/>
    <w:rPr>
      <w:caps w:val="1"/>
    </w:rPr>
  </w:style>
  <w:style w:type="paragraph" w:styleId="AppendixTitleNRC" w:customStyle="1">
    <w:name w:val="Appendix Title NRC"/>
    <w:basedOn w:val="Normal"/>
    <w:next w:val="Normal"/>
    <w:qFormat w:val="1"/>
    <w:rsid w:val="0039048B"/>
    <w:pPr>
      <w:pageBreakBefore w:val="1"/>
      <w:framePr w:lines="0" w:w="8505" w:vSpace="170" w:wrap="around" w:hAnchor="text" w:vAnchor="page" w:y="1135"/>
      <w:numPr>
        <w:numId w:val="6"/>
      </w:numPr>
      <w:pBdr>
        <w:bottom w:color="464645" w:space="6" w:sz="4" w:themeColor="text1" w:val="single"/>
      </w:pBdr>
      <w:spacing w:after="0"/>
      <w:ind w:left="1985" w:hanging="1985"/>
    </w:pPr>
    <w:rPr>
      <w:sz w:val="32"/>
    </w:rPr>
  </w:style>
  <w:style w:type="paragraph" w:styleId="BalloonText">
    <w:name w:val="Balloon Text"/>
    <w:basedOn w:val="Normal"/>
    <w:link w:val="BalloonTextChar"/>
    <w:uiPriority w:val="99"/>
    <w:semiHidden w:val="1"/>
    <w:unhideWhenUsed w:val="1"/>
    <w:rsid w:val="002578AB"/>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2578AB"/>
    <w:rPr>
      <w:rFonts w:ascii="Tahoma" w:cs="Tahoma" w:hAnsi="Tahoma"/>
      <w:color w:val="464645" w:themeColor="text1"/>
      <w:sz w:val="16"/>
      <w:szCs w:val="16"/>
      <w:lang w:val="en-GB"/>
    </w:rPr>
  </w:style>
  <w:style w:type="paragraph" w:styleId="NormalWeb">
    <w:name w:val="Normal (Web)"/>
    <w:basedOn w:val="Normal"/>
    <w:uiPriority w:val="99"/>
    <w:unhideWhenUsed w:val="1"/>
    <w:rsid w:val="00451885"/>
    <w:pPr>
      <w:spacing w:after="100" w:afterAutospacing="1" w:before="100" w:beforeAutospacing="1" w:line="240" w:lineRule="auto"/>
    </w:pPr>
    <w:rPr>
      <w:rFonts w:ascii="Times New Roman" w:cs="Times New Roman" w:eastAsia="Times New Roman" w:hAnsi="Times New Roman"/>
      <w:color w:val="auto"/>
      <w:sz w:val="24"/>
      <w:szCs w:val="24"/>
    </w:rPr>
  </w:style>
  <w:style w:type="character" w:styleId="ListParagraphChar" w:customStyle="1">
    <w:name w:val="List Paragraph Char"/>
    <w:aliases w:val="List NRC Char,Paragraph Char,Premier Char,Paragraphe de liste1 Char,Bullets Char,List Paragraph (numbered (a)) Char,Lapis Bulleted List Char,stil3 Char,normal Char,References Char,Liste 1 Char,Numbered List Paragraph Char"/>
    <w:basedOn w:val="DefaultParagraphFont"/>
    <w:link w:val="ListParagraph"/>
    <w:uiPriority w:val="34"/>
    <w:qFormat w:val="1"/>
    <w:locked w:val="1"/>
    <w:rsid w:val="00451885"/>
    <w:rPr>
      <w:color w:val="464645" w:themeColor="text1"/>
      <w:sz w:val="20"/>
      <w:lang w:val="en-GB"/>
    </w:rPr>
  </w:style>
  <w:style w:type="table" w:styleId="GridTable1Light-Accent1">
    <w:name w:val="Grid Table 1 Light Accent 1"/>
    <w:basedOn w:val="TableNormal"/>
    <w:uiPriority w:val="46"/>
    <w:rsid w:val="00451885"/>
    <w:pPr>
      <w:spacing w:after="0" w:line="240" w:lineRule="auto"/>
    </w:pPr>
    <w:rPr>
      <w:kern w:val="2"/>
      <w:lang w:val="fr-FR"/>
    </w:rPr>
    <w:tblPr>
      <w:tblStyleRowBandSize w:val="1"/>
      <w:tblStyleColBandSize w:val="1"/>
      <w:tblBorders>
        <w:top w:color="ffc799" w:space="0" w:sz="4" w:themeColor="accent1" w:themeTint="000066" w:val="single"/>
        <w:left w:color="ffc799" w:space="0" w:sz="4" w:themeColor="accent1" w:themeTint="000066" w:val="single"/>
        <w:bottom w:color="ffc799" w:space="0" w:sz="4" w:themeColor="accent1" w:themeTint="000066" w:val="single"/>
        <w:right w:color="ffc799" w:space="0" w:sz="4" w:themeColor="accent1" w:themeTint="000066" w:val="single"/>
        <w:insideH w:color="ffc799" w:space="0" w:sz="4" w:themeColor="accent1" w:themeTint="000066" w:val="single"/>
        <w:insideV w:color="ffc799" w:space="0" w:sz="4" w:themeColor="accent1" w:themeTint="000066" w:val="single"/>
      </w:tblBorders>
    </w:tblPr>
    <w:tblStylePr w:type="firstRow">
      <w:rPr>
        <w:b w:val="1"/>
        <w:bCs w:val="1"/>
      </w:rPr>
      <w:tblPr/>
      <w:tcPr>
        <w:tcBorders>
          <w:bottom w:color="ffac67" w:space="0" w:sz="12" w:themeColor="accent1" w:themeTint="000099" w:val="single"/>
        </w:tcBorders>
      </w:tcPr>
    </w:tblStylePr>
    <w:tblStylePr w:type="lastRow">
      <w:rPr>
        <w:b w:val="1"/>
        <w:bCs w:val="1"/>
      </w:rPr>
      <w:tblPr/>
      <w:tcPr>
        <w:tcBorders>
          <w:top w:color="ffac67" w:space="0" w:sz="2" w:themeColor="accent1" w:themeTint="000099" w:val="double"/>
        </w:tcBorders>
      </w:tcPr>
    </w:tblStylePr>
    <w:tblStylePr w:type="firstCol">
      <w:rPr>
        <w:b w:val="1"/>
        <w:bCs w:val="1"/>
      </w:rPr>
    </w:tblStylePr>
    <w:tblStylePr w:type="lastCol">
      <w:rPr>
        <w:b w:val="1"/>
        <w:bCs w:val="1"/>
      </w:rPr>
    </w:tblStylePr>
  </w:style>
  <w:style w:type="table" w:styleId="a" w:customStyle="1">
    <w:basedOn w:val="TableNormal"/>
    <w:pPr>
      <w:spacing w:after="0" w:line="240" w:lineRule="auto"/>
    </w:pPr>
    <w:tblPr>
      <w:tblStyleRowBandSize w:val="1"/>
      <w:tblStyleColBandSize w:val="1"/>
      <w:tblCellMar>
        <w:left w:w="115.0" w:type="dxa"/>
        <w:right w:w="115.0" w:type="dxa"/>
      </w:tblCellMar>
    </w:tblPr>
    <w:tcPr>
      <w:vAlign w:val="bottom"/>
    </w:tcPr>
    <w:tblStylePr w:type="firstRow">
      <w:tblPr/>
      <w:tcPr>
        <w:shd w:color="auto" w:fill="464645" w:val="clear"/>
      </w:tcPr>
    </w:tblStylePr>
  </w:style>
  <w:style w:type="table" w:styleId="a0" w:customStyle="1">
    <w:basedOn w:val="TableNormal"/>
    <w:pPr>
      <w:spacing w:after="0" w:line="240" w:lineRule="auto"/>
    </w:pPr>
    <w:tblPr>
      <w:tblStyleRowBandSize w:val="1"/>
      <w:tblStyleColBandSize w:val="1"/>
      <w:tblCellMar>
        <w:left w:w="115.0" w:type="dxa"/>
        <w:right w:w="115.0" w:type="dxa"/>
      </w:tblCellMar>
    </w:tblPr>
    <w:tcPr>
      <w:vAlign w:val="bottom"/>
    </w:tcPr>
    <w:tblStylePr w:type="firstRow">
      <w:tblPr/>
      <w:tcPr>
        <w:shd w:color="auto" w:fill="464645" w:val="clear"/>
      </w:tcPr>
    </w:tblStylePr>
  </w:style>
  <w:style w:type="table" w:styleId="a1" w:customStyle="1">
    <w:basedOn w:val="TableNormal"/>
    <w:pPr>
      <w:spacing w:after="0" w:line="240" w:lineRule="auto"/>
    </w:pPr>
    <w:tblPr>
      <w:tblStyleRowBandSize w:val="1"/>
      <w:tblStyleColBandSize w:val="1"/>
    </w:tblPr>
    <w:tblStylePr w:type="firstRow">
      <w:rPr>
        <w:b w:val="1"/>
        <w:bCs w:val="1"/>
      </w:rPr>
      <w:tblPr/>
      <w:tcPr>
        <w:tcBorders>
          <w:bottom w:color="ffac67" w:space="0" w:sz="12" w:val="single"/>
        </w:tcBorders>
      </w:tcPr>
    </w:tblStylePr>
    <w:tblStylePr w:type="lastRow">
      <w:rPr>
        <w:b w:val="1"/>
        <w:bCs w:val="1"/>
      </w:rPr>
      <w:tblPr/>
      <w:tcPr>
        <w:tcBorders>
          <w:top w:color="ffac67" w:space="0" w:sz="4" w:val="single"/>
        </w:tcBorders>
      </w:tcPr>
    </w:tblStylePr>
    <w:tblStylePr w:type="firstCol">
      <w:rPr>
        <w:b w:val="1"/>
        <w:bCs w:val="1"/>
      </w:rPr>
    </w:tblStylePr>
    <w:tblStylePr w:type="lastCol">
      <w:rPr>
        <w:b w:val="1"/>
        <w:bCs w:val="1"/>
      </w:rPr>
    </w:tblStylePr>
  </w:style>
  <w:style w:type="table" w:styleId="a2" w:customStyle="1">
    <w:basedOn w:val="TableNormal"/>
    <w:pPr>
      <w:spacing w:after="0" w:line="240" w:lineRule="auto"/>
    </w:pPr>
    <w:tblPr>
      <w:tblStyleRowBandSize w:val="1"/>
      <w:tblStyleColBandSize w:val="1"/>
    </w:tblPr>
    <w:tblStylePr w:type="firstRow">
      <w:rPr>
        <w:b w:val="1"/>
        <w:bCs w:val="1"/>
      </w:rPr>
      <w:tblPr/>
      <w:tcPr>
        <w:tcBorders>
          <w:bottom w:color="ffac67" w:space="0" w:sz="12" w:val="single"/>
        </w:tcBorders>
      </w:tcPr>
    </w:tblStylePr>
    <w:tblStylePr w:type="lastRow">
      <w:rPr>
        <w:b w:val="1"/>
        <w:bCs w:val="1"/>
      </w:rPr>
      <w:tblPr/>
      <w:tcPr>
        <w:tcBorders>
          <w:top w:color="ffac67" w:space="0" w:sz="4" w:val="single"/>
        </w:tcBorders>
      </w:tcPr>
    </w:tblStylePr>
    <w:tblStylePr w:type="firstCol">
      <w:rPr>
        <w:b w:val="1"/>
        <w:bCs w:val="1"/>
      </w:rPr>
    </w:tblStylePr>
    <w:tblStylePr w:type="lastCol">
      <w:rPr>
        <w:b w:val="1"/>
        <w:bCs w:val="1"/>
      </w:rPr>
    </w:tblStylePr>
  </w:style>
  <w:style w:type="table" w:styleId="a3" w:customStyle="1">
    <w:basedOn w:val="TableNormal"/>
    <w:pPr>
      <w:spacing w:after="0" w:line="240" w:lineRule="auto"/>
    </w:pPr>
    <w:tblPr>
      <w:tblStyleRowBandSize w:val="1"/>
      <w:tblStyleColBandSize w:val="1"/>
    </w:tblPr>
    <w:tblStylePr w:type="firstRow">
      <w:rPr>
        <w:b w:val="1"/>
        <w:bCs w:val="1"/>
      </w:rPr>
      <w:tblPr/>
      <w:tcPr>
        <w:tcBorders>
          <w:bottom w:color="ffac67" w:space="0" w:sz="12" w:val="single"/>
        </w:tcBorders>
      </w:tcPr>
    </w:tblStylePr>
    <w:tblStylePr w:type="lastRow">
      <w:rPr>
        <w:b w:val="1"/>
        <w:bCs w:val="1"/>
      </w:rPr>
      <w:tblPr/>
      <w:tcPr>
        <w:tcBorders>
          <w:top w:color="ffac67" w:space="0" w:sz="4" w:val="single"/>
        </w:tcBorders>
      </w:tcPr>
    </w:tblStylePr>
    <w:tblStylePr w:type="firstCol">
      <w:rPr>
        <w:b w:val="1"/>
        <w:bCs w:val="1"/>
      </w:rPr>
    </w:tblStylePr>
    <w:tblStylePr w:type="lastCol">
      <w:rPr>
        <w:b w:val="1"/>
        <w:bCs w:val="1"/>
      </w:rPr>
    </w:tblStylePr>
  </w:style>
  <w:style w:type="table" w:styleId="a4" w:customStyle="1">
    <w:basedOn w:val="TableNormal"/>
    <w:pPr>
      <w:spacing w:after="0" w:line="240" w:lineRule="auto"/>
    </w:pPr>
    <w:tblPr>
      <w:tblStyleRowBandSize w:val="1"/>
      <w:tblStyleColBandSize w:val="1"/>
    </w:tblPr>
    <w:tblStylePr w:type="firstRow">
      <w:rPr>
        <w:b w:val="1"/>
        <w:bCs w:val="1"/>
      </w:rPr>
      <w:tblPr/>
      <w:tcPr>
        <w:tcBorders>
          <w:bottom w:color="ffac67" w:space="0" w:sz="12" w:val="single"/>
        </w:tcBorders>
      </w:tcPr>
    </w:tblStylePr>
    <w:tblStylePr w:type="lastRow">
      <w:rPr>
        <w:b w:val="1"/>
        <w:bCs w:val="1"/>
      </w:rPr>
      <w:tblPr/>
      <w:tcPr>
        <w:tcBorders>
          <w:top w:color="ffac67" w:space="0" w:sz="4" w:val="single"/>
        </w:tcBorders>
      </w:tcPr>
    </w:tblStylePr>
    <w:tblStylePr w:type="firstCol">
      <w:rPr>
        <w:b w:val="1"/>
        <w:bCs w:val="1"/>
      </w:rPr>
    </w:tblStylePr>
    <w:tblStylePr w:type="lastCol">
      <w:rPr>
        <w:b w:val="1"/>
        <w:bCs w:val="1"/>
      </w:rPr>
    </w:tblStylePr>
  </w:style>
  <w:style w:type="table" w:styleId="a5" w:customStyle="1">
    <w:basedOn w:val="TableNormal"/>
    <w:tblPr>
      <w:tblStyleRowBandSize w:val="1"/>
      <w:tblStyleColBandSize w:val="1"/>
      <w:tblCellMar>
        <w:left w:w="115.0" w:type="dxa"/>
        <w:right w:w="115.0" w:type="dxa"/>
      </w:tblCellMar>
    </w:tblPr>
  </w:style>
  <w:style w:type="table" w:styleId="a6" w:customStyle="1">
    <w:basedOn w:val="TableNormal"/>
    <w:tblPr>
      <w:tblStyleRowBandSize w:val="1"/>
      <w:tblStyleColBandSize w:val="1"/>
      <w:tblCellMar>
        <w:left w:w="115.0" w:type="dxa"/>
        <w:right w:w="115.0" w:type="dxa"/>
      </w:tblCellMar>
    </w:tblPr>
  </w:style>
  <w:style w:type="paragraph" w:styleId="CommentText">
    <w:name w:val="annotation text"/>
    <w:basedOn w:val="Normal"/>
    <w:link w:val="CommentTextChar"/>
    <w:uiPriority w:val="99"/>
    <w:semiHidden w:val="1"/>
    <w:unhideWhenUsed w:val="1"/>
    <w:pPr>
      <w:spacing w:line="240" w:lineRule="auto"/>
    </w:pPr>
  </w:style>
  <w:style w:type="character" w:styleId="CommentTextChar" w:customStyle="1">
    <w:name w:val="Comment Text Char"/>
    <w:basedOn w:val="DefaultParagraphFont"/>
    <w:link w:val="CommentText"/>
    <w:uiPriority w:val="99"/>
    <w:semiHidden w:val="1"/>
  </w:style>
  <w:style w:type="character" w:styleId="CommentReference">
    <w:name w:val="annotation reference"/>
    <w:basedOn w:val="DefaultParagraphFont"/>
    <w:uiPriority w:val="99"/>
    <w:semiHidden w:val="1"/>
    <w:unhideWhenUsed w:val="1"/>
    <w:rPr>
      <w:sz w:val="16"/>
      <w:szCs w:val="16"/>
    </w:rPr>
  </w:style>
  <w:style w:type="table" w:styleId="a7" w:customStyle="1">
    <w:basedOn w:val="TableNormal"/>
    <w:pPr>
      <w:spacing w:after="0" w:line="240" w:lineRule="auto"/>
    </w:pPr>
    <w:tblPr>
      <w:tblStyleRowBandSize w:val="1"/>
      <w:tblStyleColBandSize w:val="1"/>
      <w:tblCellMar>
        <w:left w:w="115.0" w:type="dxa"/>
        <w:right w:w="115.0" w:type="dxa"/>
      </w:tblCellMar>
    </w:tblPr>
    <w:tcPr>
      <w:vAlign w:val="bottom"/>
    </w:tcPr>
    <w:tblStylePr w:type="firstRow">
      <w:tblPr/>
      <w:tcPr>
        <w:shd w:color="auto" w:fill="464645" w:val="clear"/>
      </w:tcPr>
    </w:tblStylePr>
  </w:style>
  <w:style w:type="table" w:styleId="a8" w:customStyle="1">
    <w:basedOn w:val="TableNormal"/>
    <w:pPr>
      <w:spacing w:after="0" w:line="240" w:lineRule="auto"/>
    </w:pPr>
    <w:tblPr>
      <w:tblStyleRowBandSize w:val="1"/>
      <w:tblStyleColBandSize w:val="1"/>
      <w:tblCellMar>
        <w:left w:w="115.0" w:type="dxa"/>
        <w:right w:w="115.0" w:type="dxa"/>
      </w:tblCellMar>
    </w:tblPr>
    <w:tcPr>
      <w:vAlign w:val="bottom"/>
    </w:tcPr>
    <w:tblStylePr w:type="firstRow">
      <w:tblPr/>
      <w:tcPr>
        <w:shd w:color="auto" w:fill="464645" w:val="clear"/>
      </w:tcPr>
    </w:tblStylePr>
  </w:style>
  <w:style w:type="table" w:styleId="a9" w:customStyle="1">
    <w:basedOn w:val="TableNormal"/>
    <w:pPr>
      <w:spacing w:after="0" w:line="240" w:lineRule="auto"/>
    </w:pPr>
    <w:tblPr>
      <w:tblStyleRowBandSize w:val="1"/>
      <w:tblStyleColBandSize w:val="1"/>
    </w:tblPr>
    <w:tblStylePr w:type="firstRow">
      <w:rPr>
        <w:b w:val="1"/>
        <w:bCs w:val="1"/>
      </w:rPr>
      <w:tblPr/>
      <w:tcPr>
        <w:tcBorders>
          <w:bottom w:color="ffac67" w:space="0" w:sz="12" w:val="single"/>
        </w:tcBorders>
      </w:tcPr>
    </w:tblStylePr>
    <w:tblStylePr w:type="lastRow">
      <w:rPr>
        <w:b w:val="1"/>
        <w:bCs w:val="1"/>
      </w:rPr>
      <w:tblPr/>
      <w:tcPr>
        <w:tcBorders>
          <w:top w:color="ffac67" w:space="0" w:sz="4" w:val="single"/>
        </w:tcBorders>
      </w:tcPr>
    </w:tblStylePr>
    <w:tblStylePr w:type="firstCol">
      <w:rPr>
        <w:b w:val="1"/>
        <w:bCs w:val="1"/>
      </w:rPr>
    </w:tblStylePr>
    <w:tblStylePr w:type="lastCol">
      <w:rPr>
        <w:b w:val="1"/>
        <w:bCs w:val="1"/>
      </w:rPr>
    </w:tblStylePr>
  </w:style>
  <w:style w:type="table" w:styleId="aa" w:customStyle="1">
    <w:basedOn w:val="TableNormal"/>
    <w:pPr>
      <w:spacing w:after="0" w:line="240" w:lineRule="auto"/>
    </w:pPr>
    <w:tblPr>
      <w:tblStyleRowBandSize w:val="1"/>
      <w:tblStyleColBandSize w:val="1"/>
    </w:tblPr>
    <w:tblStylePr w:type="firstRow">
      <w:rPr>
        <w:b w:val="1"/>
        <w:bCs w:val="1"/>
      </w:rPr>
      <w:tblPr/>
      <w:tcPr>
        <w:tcBorders>
          <w:bottom w:color="ffac67" w:space="0" w:sz="12" w:val="single"/>
        </w:tcBorders>
      </w:tcPr>
    </w:tblStylePr>
    <w:tblStylePr w:type="lastRow">
      <w:rPr>
        <w:b w:val="1"/>
        <w:bCs w:val="1"/>
      </w:rPr>
      <w:tblPr/>
      <w:tcPr>
        <w:tcBorders>
          <w:top w:color="ffac67" w:space="0" w:sz="4" w:val="single"/>
        </w:tcBorders>
      </w:tcPr>
    </w:tblStylePr>
    <w:tblStylePr w:type="firstCol">
      <w:rPr>
        <w:b w:val="1"/>
        <w:bCs w:val="1"/>
      </w:rPr>
    </w:tblStylePr>
    <w:tblStylePr w:type="lastCol">
      <w:rPr>
        <w:b w:val="1"/>
        <w:bCs w:val="1"/>
      </w:rPr>
    </w:tblStylePr>
  </w:style>
  <w:style w:type="table" w:styleId="ab" w:customStyle="1">
    <w:basedOn w:val="TableNormal"/>
    <w:pPr>
      <w:spacing w:after="0" w:line="240" w:lineRule="auto"/>
    </w:pPr>
    <w:tblPr>
      <w:tblStyleRowBandSize w:val="1"/>
      <w:tblStyleColBandSize w:val="1"/>
    </w:tblPr>
    <w:tblStylePr w:type="firstRow">
      <w:rPr>
        <w:b w:val="1"/>
        <w:bCs w:val="1"/>
      </w:rPr>
      <w:tblPr/>
      <w:tcPr>
        <w:tcBorders>
          <w:bottom w:color="ffac67" w:space="0" w:sz="12" w:val="single"/>
        </w:tcBorders>
      </w:tcPr>
    </w:tblStylePr>
    <w:tblStylePr w:type="lastRow">
      <w:rPr>
        <w:b w:val="1"/>
        <w:bCs w:val="1"/>
      </w:rPr>
      <w:tblPr/>
      <w:tcPr>
        <w:tcBorders>
          <w:top w:color="ffac67" w:space="0" w:sz="4" w:val="single"/>
        </w:tcBorders>
      </w:tcPr>
    </w:tblStylePr>
    <w:tblStylePr w:type="firstCol">
      <w:rPr>
        <w:b w:val="1"/>
        <w:bCs w:val="1"/>
      </w:rPr>
    </w:tblStylePr>
    <w:tblStylePr w:type="lastCol">
      <w:rPr>
        <w:b w:val="1"/>
        <w:bCs w:val="1"/>
      </w:rPr>
    </w:tblStylePr>
  </w:style>
  <w:style w:type="table" w:styleId="ac" w:customStyle="1">
    <w:basedOn w:val="TableNormal"/>
    <w:pPr>
      <w:spacing w:after="0" w:line="240" w:lineRule="auto"/>
    </w:pPr>
    <w:tblPr>
      <w:tblStyleRowBandSize w:val="1"/>
      <w:tblStyleColBandSize w:val="1"/>
    </w:tblPr>
    <w:tblStylePr w:type="firstRow">
      <w:rPr>
        <w:b w:val="1"/>
        <w:bCs w:val="1"/>
      </w:rPr>
      <w:tblPr/>
      <w:tcPr>
        <w:tcBorders>
          <w:bottom w:color="ffac67" w:space="0" w:sz="12" w:val="single"/>
        </w:tcBorders>
      </w:tcPr>
    </w:tblStylePr>
    <w:tblStylePr w:type="lastRow">
      <w:rPr>
        <w:b w:val="1"/>
        <w:bCs w:val="1"/>
      </w:rPr>
      <w:tblPr/>
      <w:tcPr>
        <w:tcBorders>
          <w:top w:color="ffac67" w:space="0" w:sz="4" w:val="single"/>
        </w:tcBorders>
      </w:tcPr>
    </w:tblStylePr>
    <w:tblStylePr w:type="firstCol">
      <w:rPr>
        <w:b w:val="1"/>
        <w:bCs w:val="1"/>
      </w:rPr>
    </w:tblStylePr>
    <w:tblStylePr w:type="lastCol">
      <w:rPr>
        <w:b w:val="1"/>
        <w:bCs w:val="1"/>
      </w:rPr>
    </w:tblStylePr>
  </w:style>
  <w:style w:type="table" w:styleId="ad" w:customStyle="1">
    <w:basedOn w:val="TableNormal"/>
    <w:tblPr>
      <w:tblStyleRowBandSize w:val="1"/>
      <w:tblStyleColBandSize w:val="1"/>
      <w:tblCellMar>
        <w:left w:w="115.0" w:type="dxa"/>
        <w:right w:w="115.0" w:type="dxa"/>
      </w:tblCellMar>
    </w:tblPr>
  </w:style>
  <w:style w:type="table" w:styleId="ae" w:customStyle="1">
    <w:basedOn w:val="TableNormal"/>
    <w:tblPr>
      <w:tblStyleRowBandSize w:val="1"/>
      <w:tblStyleColBandSize w:val="1"/>
      <w:tblCellMar>
        <w:left w:w="115.0" w:type="dxa"/>
        <w:right w:w="115.0" w:type="dxa"/>
      </w:tblCellMar>
    </w:tblPr>
  </w:style>
  <w:style w:type="table" w:styleId="af" w:customStyle="1">
    <w:basedOn w:val="TableNormal"/>
    <w:pPr>
      <w:spacing w:after="0" w:line="240" w:lineRule="auto"/>
    </w:pPr>
    <w:tblPr>
      <w:tblStyleRowBandSize w:val="1"/>
      <w:tblStyleColBandSize w:val="1"/>
      <w:tblCellMar>
        <w:left w:w="115.0" w:type="dxa"/>
        <w:right w:w="115.0" w:type="dxa"/>
      </w:tblCellMar>
    </w:tblPr>
    <w:tcPr>
      <w:vAlign w:val="bottom"/>
    </w:tcPr>
    <w:tblStylePr w:type="firstRow">
      <w:tblPr/>
      <w:tcPr>
        <w:shd w:color="auto" w:fill="464645" w:val="clear"/>
      </w:tcPr>
    </w:tblStylePr>
  </w:style>
  <w:style w:type="table" w:styleId="af0" w:customStyle="1">
    <w:basedOn w:val="TableNormal"/>
    <w:pPr>
      <w:spacing w:after="0" w:line="240" w:lineRule="auto"/>
    </w:pPr>
    <w:tblPr>
      <w:tblStyleRowBandSize w:val="1"/>
      <w:tblStyleColBandSize w:val="1"/>
      <w:tblCellMar>
        <w:left w:w="115.0" w:type="dxa"/>
        <w:right w:w="115.0" w:type="dxa"/>
      </w:tblCellMar>
    </w:tblPr>
    <w:tcPr>
      <w:vAlign w:val="bottom"/>
    </w:tcPr>
    <w:tblStylePr w:type="firstRow">
      <w:tblPr/>
      <w:tcPr>
        <w:shd w:color="auto" w:fill="464645" w:val="clear"/>
      </w:tcPr>
    </w:tblStylePr>
  </w:style>
  <w:style w:type="table" w:styleId="af1" w:customStyle="1">
    <w:basedOn w:val="TableNormal"/>
    <w:pPr>
      <w:spacing w:after="0" w:line="240" w:lineRule="auto"/>
    </w:pPr>
    <w:tblPr>
      <w:tblStyleRowBandSize w:val="1"/>
      <w:tblStyleColBandSize w:val="1"/>
    </w:tblPr>
    <w:tblStylePr w:type="firstRow">
      <w:rPr>
        <w:b w:val="1"/>
        <w:bCs w:val="1"/>
      </w:rPr>
      <w:tblPr/>
      <w:tcPr>
        <w:tcBorders>
          <w:bottom w:color="ffac67" w:space="0" w:sz="12" w:val="single"/>
        </w:tcBorders>
      </w:tcPr>
    </w:tblStylePr>
    <w:tblStylePr w:type="lastRow">
      <w:rPr>
        <w:b w:val="1"/>
        <w:bCs w:val="1"/>
      </w:rPr>
      <w:tblPr/>
      <w:tcPr>
        <w:tcBorders>
          <w:top w:color="ffac67" w:space="0" w:sz="4" w:val="single"/>
        </w:tcBorders>
      </w:tcPr>
    </w:tblStylePr>
    <w:tblStylePr w:type="firstCol">
      <w:rPr>
        <w:b w:val="1"/>
        <w:bCs w:val="1"/>
      </w:rPr>
    </w:tblStylePr>
    <w:tblStylePr w:type="lastCol">
      <w:rPr>
        <w:b w:val="1"/>
        <w:bCs w:val="1"/>
      </w:rPr>
    </w:tblStylePr>
  </w:style>
  <w:style w:type="table" w:styleId="af2" w:customStyle="1">
    <w:basedOn w:val="TableNormal"/>
    <w:pPr>
      <w:spacing w:after="0" w:line="240" w:lineRule="auto"/>
    </w:pPr>
    <w:tblPr>
      <w:tblStyleRowBandSize w:val="1"/>
      <w:tblStyleColBandSize w:val="1"/>
    </w:tblPr>
    <w:tblStylePr w:type="firstRow">
      <w:rPr>
        <w:b w:val="1"/>
        <w:bCs w:val="1"/>
      </w:rPr>
      <w:tblPr/>
      <w:tcPr>
        <w:tcBorders>
          <w:bottom w:color="ffac67" w:space="0" w:sz="12" w:val="single"/>
        </w:tcBorders>
      </w:tcPr>
    </w:tblStylePr>
    <w:tblStylePr w:type="lastRow">
      <w:rPr>
        <w:b w:val="1"/>
        <w:bCs w:val="1"/>
      </w:rPr>
      <w:tblPr/>
      <w:tcPr>
        <w:tcBorders>
          <w:top w:color="ffac67" w:space="0" w:sz="4" w:val="single"/>
        </w:tcBorders>
      </w:tcPr>
    </w:tblStylePr>
    <w:tblStylePr w:type="firstCol">
      <w:rPr>
        <w:b w:val="1"/>
        <w:bCs w:val="1"/>
      </w:rPr>
    </w:tblStylePr>
    <w:tblStylePr w:type="lastCol">
      <w:rPr>
        <w:b w:val="1"/>
        <w:bCs w:val="1"/>
      </w:rPr>
    </w:tblStylePr>
  </w:style>
  <w:style w:type="table" w:styleId="af3" w:customStyle="1">
    <w:basedOn w:val="TableNormal"/>
    <w:pPr>
      <w:spacing w:after="0" w:line="240" w:lineRule="auto"/>
    </w:pPr>
    <w:tblPr>
      <w:tblStyleRowBandSize w:val="1"/>
      <w:tblStyleColBandSize w:val="1"/>
    </w:tblPr>
    <w:tblStylePr w:type="firstRow">
      <w:rPr>
        <w:b w:val="1"/>
        <w:bCs w:val="1"/>
      </w:rPr>
      <w:tblPr/>
      <w:tcPr>
        <w:tcBorders>
          <w:bottom w:color="ffac67" w:space="0" w:sz="12" w:val="single"/>
        </w:tcBorders>
      </w:tcPr>
    </w:tblStylePr>
    <w:tblStylePr w:type="lastRow">
      <w:rPr>
        <w:b w:val="1"/>
        <w:bCs w:val="1"/>
      </w:rPr>
      <w:tblPr/>
      <w:tcPr>
        <w:tcBorders>
          <w:top w:color="ffac67" w:space="0" w:sz="4" w:val="single"/>
        </w:tcBorders>
      </w:tcPr>
    </w:tblStylePr>
    <w:tblStylePr w:type="firstCol">
      <w:rPr>
        <w:b w:val="1"/>
        <w:bCs w:val="1"/>
      </w:rPr>
    </w:tblStylePr>
    <w:tblStylePr w:type="lastCol">
      <w:rPr>
        <w:b w:val="1"/>
        <w:bCs w:val="1"/>
      </w:rPr>
    </w:tblStylePr>
  </w:style>
  <w:style w:type="table" w:styleId="af4" w:customStyle="1">
    <w:basedOn w:val="TableNormal"/>
    <w:pPr>
      <w:spacing w:after="0" w:line="240" w:lineRule="auto"/>
    </w:pPr>
    <w:tblPr>
      <w:tblStyleRowBandSize w:val="1"/>
      <w:tblStyleColBandSize w:val="1"/>
    </w:tblPr>
    <w:tblStylePr w:type="firstRow">
      <w:rPr>
        <w:b w:val="1"/>
        <w:bCs w:val="1"/>
      </w:rPr>
      <w:tblPr/>
      <w:tcPr>
        <w:tcBorders>
          <w:bottom w:color="ffac67" w:space="0" w:sz="12" w:val="single"/>
        </w:tcBorders>
      </w:tcPr>
    </w:tblStylePr>
    <w:tblStylePr w:type="lastRow">
      <w:rPr>
        <w:b w:val="1"/>
        <w:bCs w:val="1"/>
      </w:rPr>
      <w:tblPr/>
      <w:tcPr>
        <w:tcBorders>
          <w:top w:color="ffac67" w:space="0" w:sz="4" w:val="single"/>
        </w:tcBorders>
      </w:tcPr>
    </w:tblStylePr>
    <w:tblStylePr w:type="firstCol">
      <w:rPr>
        <w:b w:val="1"/>
        <w:bCs w:val="1"/>
      </w:rPr>
    </w:tblStylePr>
    <w:tblStylePr w:type="lastCol">
      <w:rPr>
        <w:b w:val="1"/>
        <w:bCs w:val="1"/>
      </w:rPr>
    </w:tblStylePr>
  </w:style>
  <w:style w:type="table" w:styleId="af5" w:customStyle="1">
    <w:basedOn w:val="TableNormal"/>
    <w:tblPr>
      <w:tblStyleRowBandSize w:val="1"/>
      <w:tblStyleColBandSize w:val="1"/>
      <w:tblCellMar>
        <w:left w:w="115.0" w:type="dxa"/>
        <w:right w:w="115.0" w:type="dxa"/>
      </w:tblCellMar>
    </w:tblPr>
  </w:style>
  <w:style w:type="table" w:styleId="af6" w:customStyle="1">
    <w:basedOn w:val="TableNormal"/>
    <w:tblPr>
      <w:tblStyleRowBandSize w:val="1"/>
      <w:tblStyleColBandSize w:val="1"/>
      <w:tblCellMar>
        <w:left w:w="115.0" w:type="dxa"/>
        <w:right w:w="115.0" w:type="dxa"/>
      </w:tblCellMar>
    </w:tblPr>
  </w:style>
  <w:style w:type="table" w:styleId="af7" w:customStyle="1">
    <w:basedOn w:val="TableNormal"/>
    <w:pPr>
      <w:spacing w:after="0" w:line="240" w:lineRule="auto"/>
    </w:pPr>
    <w:tblPr>
      <w:tblStyleRowBandSize w:val="1"/>
      <w:tblStyleColBandSize w:val="1"/>
      <w:tblCellMar>
        <w:left w:w="115.0" w:type="dxa"/>
        <w:right w:w="115.0" w:type="dxa"/>
      </w:tblCellMar>
    </w:tblPr>
    <w:tcPr>
      <w:vAlign w:val="bottom"/>
    </w:tcPr>
    <w:tblStylePr w:type="firstRow">
      <w:tblPr/>
      <w:tcPr>
        <w:shd w:color="auto" w:fill="464645" w:val="clear"/>
      </w:tcPr>
    </w:tblStylePr>
  </w:style>
  <w:style w:type="table" w:styleId="af8" w:customStyle="1">
    <w:basedOn w:val="TableNormal"/>
    <w:pPr>
      <w:spacing w:after="0" w:line="240" w:lineRule="auto"/>
    </w:pPr>
    <w:tblPr>
      <w:tblStyleRowBandSize w:val="1"/>
      <w:tblStyleColBandSize w:val="1"/>
      <w:tblCellMar>
        <w:left w:w="115.0" w:type="dxa"/>
        <w:right w:w="115.0" w:type="dxa"/>
      </w:tblCellMar>
    </w:tblPr>
    <w:tcPr>
      <w:vAlign w:val="bottom"/>
    </w:tcPr>
    <w:tblStylePr w:type="firstRow">
      <w:tblPr/>
      <w:tcPr>
        <w:shd w:color="auto" w:fill="464645" w:val="clear"/>
      </w:tcPr>
    </w:tblStylePr>
  </w:style>
  <w:style w:type="table" w:styleId="af9" w:customStyle="1">
    <w:basedOn w:val="TableNormal"/>
    <w:pPr>
      <w:spacing w:after="0" w:line="240" w:lineRule="auto"/>
    </w:pPr>
    <w:tblPr>
      <w:tblStyleRowBandSize w:val="1"/>
      <w:tblStyleColBandSize w:val="1"/>
    </w:tblPr>
    <w:tblStylePr w:type="firstRow">
      <w:rPr>
        <w:b w:val="1"/>
        <w:bCs w:val="1"/>
      </w:rPr>
      <w:tblPr/>
      <w:tcPr>
        <w:tcBorders>
          <w:bottom w:color="ffac67" w:space="0" w:sz="12" w:val="single"/>
        </w:tcBorders>
      </w:tcPr>
    </w:tblStylePr>
    <w:tblStylePr w:type="lastRow">
      <w:rPr>
        <w:b w:val="1"/>
        <w:bCs w:val="1"/>
      </w:rPr>
      <w:tblPr/>
      <w:tcPr>
        <w:tcBorders>
          <w:top w:color="ffac67" w:space="0" w:sz="4" w:val="single"/>
        </w:tcBorders>
      </w:tcPr>
    </w:tblStylePr>
    <w:tblStylePr w:type="firstCol">
      <w:rPr>
        <w:b w:val="1"/>
        <w:bCs w:val="1"/>
      </w:rPr>
    </w:tblStylePr>
    <w:tblStylePr w:type="lastCol">
      <w:rPr>
        <w:b w:val="1"/>
        <w:bCs w:val="1"/>
      </w:rPr>
    </w:tblStylePr>
  </w:style>
  <w:style w:type="table" w:styleId="afa" w:customStyle="1">
    <w:basedOn w:val="TableNormal"/>
    <w:tblPr>
      <w:tblStyleRowBandSize w:val="1"/>
      <w:tblStyleColBandSize w:val="1"/>
    </w:tblPr>
  </w:style>
  <w:style w:type="table" w:styleId="afb" w:customStyle="1">
    <w:basedOn w:val="TableNormal"/>
    <w:tblPr>
      <w:tblStyleRowBandSize w:val="1"/>
      <w:tblStyleColBandSize w:val="1"/>
    </w:tblPr>
  </w:style>
  <w:style w:type="table" w:styleId="afc" w:customStyle="1">
    <w:basedOn w:val="TableNormal"/>
    <w:tblPr>
      <w:tblStyleRowBandSize w:val="1"/>
      <w:tblStyleColBandSize w:val="1"/>
    </w:tblPr>
  </w:style>
  <w:style w:type="table" w:styleId="afd" w:customStyle="1">
    <w:basedOn w:val="TableNormal"/>
    <w:tblPr>
      <w:tblStyleRowBandSize w:val="1"/>
      <w:tblStyleColBandSize w:val="1"/>
    </w:tblPr>
  </w:style>
  <w:style w:type="table" w:styleId="afe" w:customStyle="1">
    <w:basedOn w:val="TableNormal"/>
    <w:tblPr>
      <w:tblStyleRowBandSize w:val="1"/>
      <w:tblStyleColBandSize w:val="1"/>
    </w:tblPr>
  </w:style>
  <w:style w:type="table" w:styleId="aff" w:customStyle="1">
    <w:basedOn w:val="TableNormal"/>
    <w:tblPr>
      <w:tblStyleRowBandSize w:val="1"/>
      <w:tblStyleColBandSize w:val="1"/>
    </w:tblPr>
  </w:style>
  <w:style w:type="table" w:styleId="aff0" w:customStyle="1">
    <w:basedOn w:val="TableNormal"/>
    <w:tblPr>
      <w:tblStyleRowBandSize w:val="1"/>
      <w:tblStyleColBandSize w:val="1"/>
    </w:tblPr>
  </w:style>
  <w:style w:type="table" w:styleId="aff1" w:customStyle="1">
    <w:basedOn w:val="TableNormal"/>
    <w:tblPr>
      <w:tblStyleRowBandSize w:val="1"/>
      <w:tblStyleColBandSize w:val="1"/>
    </w:tblPr>
  </w:style>
  <w:style w:type="table" w:styleId="aff2" w:customStyle="1">
    <w:basedOn w:val="TableNormal"/>
    <w:tblPr>
      <w:tblStyleRowBandSize w:val="1"/>
      <w:tblStyleColBandSize w:val="1"/>
    </w:tblPr>
  </w:style>
  <w:style w:type="table" w:styleId="aff3" w:customStyle="1">
    <w:basedOn w:val="TableNormal"/>
    <w:tblPr>
      <w:tblStyleRowBandSize w:val="1"/>
      <w:tblStyleColBandSize w:val="1"/>
    </w:tblPr>
  </w:style>
  <w:style w:type="table" w:styleId="aff4" w:customStyle="1">
    <w:basedOn w:val="TableNormal"/>
    <w:tblPr>
      <w:tblStyleRowBandSize w:val="1"/>
      <w:tblStyleColBandSize w:val="1"/>
    </w:tblPr>
  </w:style>
  <w:style w:type="table" w:styleId="aff5" w:customStyle="1">
    <w:basedOn w:val="TableNormal"/>
    <w:tblPr>
      <w:tblStyleRowBandSize w:val="1"/>
      <w:tblStyleColBandSize w:val="1"/>
    </w:tblPr>
  </w:style>
  <w:style w:type="table" w:styleId="aff6" w:customStyle="1">
    <w:basedOn w:val="TableNormal"/>
    <w:tblPr>
      <w:tblStyleRowBandSize w:val="1"/>
      <w:tblStyleColBandSize w:val="1"/>
    </w:tblPr>
  </w:style>
  <w:style w:type="table" w:styleId="aff7" w:customStyle="1">
    <w:basedOn w:val="TableNormal"/>
    <w:tblPr>
      <w:tblStyleRowBandSize w:val="1"/>
      <w:tblStyleColBandSize w:val="1"/>
    </w:tblPr>
  </w:style>
  <w:style w:type="table" w:styleId="aff8" w:customStyle="1">
    <w:basedOn w:val="TableNormal"/>
    <w:tblPr>
      <w:tblStyleRowBandSize w:val="1"/>
      <w:tblStyleColBandSize w:val="1"/>
    </w:tblPr>
  </w:style>
  <w:style w:type="table" w:styleId="aff9" w:customStyle="1">
    <w:basedOn w:val="TableNormal"/>
    <w:pPr>
      <w:spacing w:after="0" w:line="240" w:lineRule="auto"/>
    </w:pPr>
    <w:tblPr>
      <w:tblStyleRowBandSize w:val="1"/>
      <w:tblStyleColBandSize w:val="1"/>
      <w:tblCellMar>
        <w:left w:w="115.0" w:type="dxa"/>
        <w:right w:w="115.0" w:type="dxa"/>
      </w:tblCellMar>
    </w:tblPr>
    <w:tcPr>
      <w:vAlign w:val="bottom"/>
    </w:tcPr>
    <w:tblStylePr w:type="firstRow">
      <w:tblPr/>
      <w:tcPr>
        <w:shd w:color="auto" w:fill="464645" w:val="clear"/>
      </w:tcPr>
    </w:tblStylePr>
  </w:style>
  <w:style w:type="table" w:styleId="affa" w:customStyle="1">
    <w:basedOn w:val="TableNormal"/>
    <w:pPr>
      <w:spacing w:after="0" w:line="240" w:lineRule="auto"/>
    </w:pPr>
    <w:tblPr>
      <w:tblStyleRowBandSize w:val="1"/>
      <w:tblStyleColBandSize w:val="1"/>
      <w:tblCellMar>
        <w:left w:w="115.0" w:type="dxa"/>
        <w:right w:w="115.0" w:type="dxa"/>
      </w:tblCellMar>
    </w:tblPr>
    <w:tcPr>
      <w:vAlign w:val="bottom"/>
    </w:tcPr>
    <w:tblStylePr w:type="firstRow">
      <w:tblPr/>
      <w:tcPr>
        <w:shd w:color="auto" w:fill="464645" w:val="clear"/>
      </w:tcPr>
    </w:tblStylePr>
  </w:style>
  <w:style w:type="table" w:styleId="affb" w:customStyle="1">
    <w:basedOn w:val="TableNormal"/>
    <w:pPr>
      <w:spacing w:after="0" w:line="240" w:lineRule="auto"/>
    </w:pPr>
    <w:tblPr>
      <w:tblStyleRowBandSize w:val="1"/>
      <w:tblStyleColBandSize w:val="1"/>
    </w:tblPr>
    <w:tblStylePr w:type="firstRow">
      <w:rPr>
        <w:b w:val="1"/>
        <w:bCs w:val="1"/>
      </w:rPr>
      <w:tblPr/>
      <w:tcPr>
        <w:tcBorders>
          <w:bottom w:color="ffac67" w:space="0" w:sz="12" w:val="single"/>
        </w:tcBorders>
      </w:tcPr>
    </w:tblStylePr>
    <w:tblStylePr w:type="lastRow">
      <w:rPr>
        <w:b w:val="1"/>
        <w:bCs w:val="1"/>
      </w:rPr>
      <w:tblPr/>
      <w:tcPr>
        <w:tcBorders>
          <w:top w:color="ffac67" w:space="0" w:sz="4" w:val="single"/>
        </w:tcBorders>
      </w:tcPr>
    </w:tblStylePr>
    <w:tblStylePr w:type="firstCol">
      <w:rPr>
        <w:b w:val="1"/>
        <w:bCs w:val="1"/>
      </w:rPr>
    </w:tblStylePr>
    <w:tblStylePr w:type="lastCol">
      <w:rPr>
        <w:b w:val="1"/>
        <w:bCs w:val="1"/>
      </w:rPr>
    </w:tblStylePr>
  </w:style>
  <w:style w:type="table" w:styleId="affc" w:customStyle="1">
    <w:basedOn w:val="TableNormal"/>
    <w:tblPr>
      <w:tblStyleRowBandSize w:val="1"/>
      <w:tblStyleColBandSize w:val="1"/>
    </w:tblPr>
  </w:style>
  <w:style w:type="table" w:styleId="affd" w:customStyle="1">
    <w:basedOn w:val="TableNormal"/>
    <w:tblPr>
      <w:tblStyleRowBandSize w:val="1"/>
      <w:tblStyleColBandSize w:val="1"/>
    </w:tblPr>
  </w:style>
  <w:style w:type="table" w:styleId="affe" w:customStyle="1">
    <w:basedOn w:val="TableNormal"/>
    <w:tblPr>
      <w:tblStyleRowBandSize w:val="1"/>
      <w:tblStyleColBandSize w:val="1"/>
    </w:tblPr>
  </w:style>
  <w:style w:type="table" w:styleId="afff" w:customStyle="1">
    <w:basedOn w:val="TableNormal"/>
    <w:tblPr>
      <w:tblStyleRowBandSize w:val="1"/>
      <w:tblStyleColBandSize w:val="1"/>
    </w:tblPr>
  </w:style>
  <w:style w:type="table" w:styleId="afff0" w:customStyle="1">
    <w:basedOn w:val="TableNormal"/>
    <w:tblPr>
      <w:tblStyleRowBandSize w:val="1"/>
      <w:tblStyleColBandSize w:val="1"/>
    </w:tblPr>
  </w:style>
  <w:style w:type="table" w:styleId="afff1" w:customStyle="1">
    <w:basedOn w:val="TableNormal"/>
    <w:tblPr>
      <w:tblStyleRowBandSize w:val="1"/>
      <w:tblStyleColBandSize w:val="1"/>
    </w:tblPr>
  </w:style>
  <w:style w:type="table" w:styleId="afff2" w:customStyle="1">
    <w:basedOn w:val="TableNormal"/>
    <w:tblPr>
      <w:tblStyleRowBandSize w:val="1"/>
      <w:tblStyleColBandSize w:val="1"/>
    </w:tblPr>
  </w:style>
  <w:style w:type="table" w:styleId="afff3" w:customStyle="1">
    <w:basedOn w:val="TableNormal"/>
    <w:tblPr>
      <w:tblStyleRowBandSize w:val="1"/>
      <w:tblStyleColBandSize w:val="1"/>
    </w:tblPr>
  </w:style>
  <w:style w:type="table" w:styleId="afff4" w:customStyle="1">
    <w:basedOn w:val="TableNormal"/>
    <w:tblPr>
      <w:tblStyleRowBandSize w:val="1"/>
      <w:tblStyleColBandSize w:val="1"/>
    </w:tblPr>
  </w:style>
  <w:style w:type="table" w:styleId="afff5" w:customStyle="1">
    <w:basedOn w:val="TableNormal"/>
    <w:tblPr>
      <w:tblStyleRowBandSize w:val="1"/>
      <w:tblStyleColBandSize w:val="1"/>
    </w:tblPr>
  </w:style>
  <w:style w:type="table" w:styleId="afff6" w:customStyle="1">
    <w:basedOn w:val="TableNormal"/>
    <w:tblPr>
      <w:tblStyleRowBandSize w:val="1"/>
      <w:tblStyleColBandSize w:val="1"/>
    </w:tblPr>
  </w:style>
  <w:style w:type="table" w:styleId="afff7" w:customStyle="1">
    <w:basedOn w:val="TableNormal"/>
    <w:tblPr>
      <w:tblStyleRowBandSize w:val="1"/>
      <w:tblStyleColBandSize w:val="1"/>
    </w:tblPr>
  </w:style>
  <w:style w:type="table" w:styleId="afff8" w:customStyle="1">
    <w:basedOn w:val="TableNormal"/>
    <w:tblPr>
      <w:tblStyleRowBandSize w:val="1"/>
      <w:tblStyleColBandSize w:val="1"/>
    </w:tblPr>
  </w:style>
  <w:style w:type="table" w:styleId="afff9" w:customStyle="1">
    <w:basedOn w:val="TableNormal"/>
    <w:tblPr>
      <w:tblStyleRowBandSize w:val="1"/>
      <w:tblStyleColBandSize w:val="1"/>
    </w:tblPr>
  </w:style>
  <w:style w:type="table" w:styleId="afffa" w:customStyle="1">
    <w:basedOn w:val="TableNormal"/>
    <w:tblPr>
      <w:tblStyleRowBandSize w:val="1"/>
      <w:tblStyleColBandSize w:val="1"/>
    </w:tblPr>
  </w:style>
  <w:style w:type="table" w:styleId="afffb" w:customStyle="1">
    <w:basedOn w:val="TableNormal"/>
    <w:tblPr>
      <w:tblStyleRowBandSize w:val="1"/>
      <w:tblStyleColBandSize w:val="1"/>
    </w:tblPr>
  </w:style>
  <w:style w:type="table" w:styleId="afffc" w:customStyle="1">
    <w:basedOn w:val="TableNormal"/>
    <w:pPr>
      <w:spacing w:after="0" w:line="240" w:lineRule="auto"/>
    </w:pPr>
    <w:tblPr>
      <w:tblStyleRowBandSize w:val="1"/>
      <w:tblStyleColBandSize w:val="1"/>
      <w:tblCellMar>
        <w:left w:w="115.0" w:type="dxa"/>
        <w:right w:w="115.0" w:type="dxa"/>
      </w:tblCellMar>
    </w:tblPr>
    <w:tcPr>
      <w:vAlign w:val="bottom"/>
    </w:tcPr>
    <w:tblStylePr w:type="firstRow">
      <w:tblPr/>
      <w:tcPr>
        <w:shd w:color="auto" w:fill="464645" w:val="clear"/>
      </w:tcPr>
    </w:tblStylePr>
  </w:style>
  <w:style w:type="table" w:styleId="afffd" w:customStyle="1">
    <w:basedOn w:val="TableNormal"/>
    <w:pPr>
      <w:spacing w:after="0" w:line="240" w:lineRule="auto"/>
    </w:pPr>
    <w:tblPr>
      <w:tblStyleRowBandSize w:val="1"/>
      <w:tblStyleColBandSize w:val="1"/>
      <w:tblCellMar>
        <w:left w:w="115.0" w:type="dxa"/>
        <w:right w:w="115.0" w:type="dxa"/>
      </w:tblCellMar>
    </w:tblPr>
    <w:tcPr>
      <w:vAlign w:val="bottom"/>
    </w:tcPr>
    <w:tblStylePr w:type="firstRow">
      <w:tblPr/>
      <w:tcPr>
        <w:shd w:color="auto" w:fill="464645" w:val="clear"/>
      </w:tcPr>
    </w:tblStylePr>
  </w:style>
  <w:style w:type="table" w:styleId="afffe" w:customStyle="1">
    <w:basedOn w:val="TableNormal"/>
    <w:pPr>
      <w:spacing w:after="0" w:line="240" w:lineRule="auto"/>
    </w:pPr>
    <w:tblPr>
      <w:tblStyleRowBandSize w:val="1"/>
      <w:tblStyleColBandSize w:val="1"/>
    </w:tblPr>
    <w:tblStylePr w:type="firstRow">
      <w:rPr>
        <w:b w:val="1"/>
        <w:bCs w:val="1"/>
      </w:rPr>
      <w:tblPr/>
      <w:tcPr>
        <w:tcBorders>
          <w:bottom w:color="ffac67" w:space="0" w:sz="12" w:val="single"/>
        </w:tcBorders>
      </w:tcPr>
    </w:tblStylePr>
    <w:tblStylePr w:type="lastRow">
      <w:rPr>
        <w:b w:val="1"/>
        <w:bCs w:val="1"/>
      </w:rPr>
      <w:tblPr/>
      <w:tcPr>
        <w:tcBorders>
          <w:top w:color="ffac67" w:space="0" w:sz="4" w:val="single"/>
        </w:tcBorders>
      </w:tcPr>
    </w:tblStylePr>
    <w:tblStylePr w:type="firstCol">
      <w:rPr>
        <w:b w:val="1"/>
        <w:bCs w:val="1"/>
      </w:rPr>
    </w:tblStylePr>
    <w:tblStylePr w:type="lastCol">
      <w:rPr>
        <w:b w:val="1"/>
        <w:bCs w:val="1"/>
      </w:rPr>
    </w:tblStylePr>
  </w:style>
  <w:style w:type="table" w:styleId="affff" w:customStyle="1">
    <w:basedOn w:val="TableNormal"/>
    <w:tblPr>
      <w:tblStyleRowBandSize w:val="1"/>
      <w:tblStyleColBandSize w:val="1"/>
    </w:tblPr>
  </w:style>
  <w:style w:type="table" w:styleId="affff0" w:customStyle="1">
    <w:basedOn w:val="TableNormal"/>
    <w:tblPr>
      <w:tblStyleRowBandSize w:val="1"/>
      <w:tblStyleColBandSize w:val="1"/>
    </w:tblPr>
  </w:style>
  <w:style w:type="table" w:styleId="affff1" w:customStyle="1">
    <w:basedOn w:val="TableNormal"/>
    <w:tblPr>
      <w:tblStyleRowBandSize w:val="1"/>
      <w:tblStyleColBandSize w:val="1"/>
    </w:tblPr>
  </w:style>
  <w:style w:type="table" w:styleId="affff2" w:customStyle="1">
    <w:basedOn w:val="TableNormal"/>
    <w:tblPr>
      <w:tblStyleRowBandSize w:val="1"/>
      <w:tblStyleColBandSize w:val="1"/>
    </w:tblPr>
  </w:style>
  <w:style w:type="table" w:styleId="affff3" w:customStyle="1">
    <w:basedOn w:val="TableNormal"/>
    <w:tblPr>
      <w:tblStyleRowBandSize w:val="1"/>
      <w:tblStyleColBandSize w:val="1"/>
    </w:tblPr>
  </w:style>
  <w:style w:type="table" w:styleId="affff4" w:customStyle="1">
    <w:basedOn w:val="TableNormal"/>
    <w:tblPr>
      <w:tblStyleRowBandSize w:val="1"/>
      <w:tblStyleColBandSize w:val="1"/>
    </w:tblPr>
  </w:style>
  <w:style w:type="table" w:styleId="affff5" w:customStyle="1">
    <w:basedOn w:val="TableNormal"/>
    <w:tblPr>
      <w:tblStyleRowBandSize w:val="1"/>
      <w:tblStyleColBandSize w:val="1"/>
    </w:tblPr>
  </w:style>
  <w:style w:type="table" w:styleId="affff6" w:customStyle="1">
    <w:basedOn w:val="TableNormal"/>
    <w:tblPr>
      <w:tblStyleRowBandSize w:val="1"/>
      <w:tblStyleColBandSize w:val="1"/>
    </w:tblPr>
  </w:style>
  <w:style w:type="table" w:styleId="affff7" w:customStyle="1">
    <w:basedOn w:val="TableNormal"/>
    <w:tblPr>
      <w:tblStyleRowBandSize w:val="1"/>
      <w:tblStyleColBandSize w:val="1"/>
    </w:tblPr>
  </w:style>
  <w:style w:type="table" w:styleId="affff8" w:customStyle="1">
    <w:basedOn w:val="TableNormal"/>
    <w:tblPr>
      <w:tblStyleRowBandSize w:val="1"/>
      <w:tblStyleColBandSize w:val="1"/>
    </w:tblPr>
  </w:style>
  <w:style w:type="table" w:styleId="affff9" w:customStyle="1">
    <w:basedOn w:val="TableNormal"/>
    <w:tblPr>
      <w:tblStyleRowBandSize w:val="1"/>
      <w:tblStyleColBandSize w:val="1"/>
    </w:tblPr>
  </w:style>
  <w:style w:type="table" w:styleId="affffa" w:customStyle="1">
    <w:basedOn w:val="TableNormal"/>
    <w:tblPr>
      <w:tblStyleRowBandSize w:val="1"/>
      <w:tblStyleColBandSize w:val="1"/>
    </w:tblPr>
  </w:style>
  <w:style w:type="table" w:styleId="affffb" w:customStyle="1">
    <w:basedOn w:val="TableNormal"/>
    <w:tblPr>
      <w:tblStyleRowBandSize w:val="1"/>
      <w:tblStyleColBandSize w:val="1"/>
    </w:tblPr>
  </w:style>
  <w:style w:type="table" w:styleId="affffc" w:customStyle="1">
    <w:basedOn w:val="TableNormal"/>
    <w:tblPr>
      <w:tblStyleRowBandSize w:val="1"/>
      <w:tblStyleColBandSize w:val="1"/>
    </w:tblPr>
  </w:style>
  <w:style w:type="table" w:styleId="affffd" w:customStyle="1">
    <w:basedOn w:val="TableNormal"/>
    <w:tblPr>
      <w:tblStyleRowBandSize w:val="1"/>
      <w:tblStyleColBandSize w:val="1"/>
    </w:tblPr>
  </w:style>
  <w:style w:type="table" w:styleId="affffe" w:customStyle="1">
    <w:basedOn w:val="TableNormal"/>
    <w:tblPr>
      <w:tblStyleRowBandSize w:val="1"/>
      <w:tblStyleColBandSize w:val="1"/>
    </w:tblPr>
  </w:style>
  <w:style w:type="table" w:styleId="afffff" w:customStyle="1">
    <w:basedOn w:val="TableNormal"/>
    <w:tblPr>
      <w:tblStyleRowBandSize w:val="1"/>
      <w:tblStyleColBandSize w:val="1"/>
    </w:tblPr>
  </w:style>
  <w:style w:type="table" w:styleId="afffff0" w:customStyle="1">
    <w:basedOn w:val="TableNormal"/>
    <w:tblPr>
      <w:tblStyleRowBandSize w:val="1"/>
      <w:tblStyleColBandSize w:val="1"/>
    </w:tblPr>
  </w:style>
  <w:style w:type="table" w:styleId="afffff1" w:customStyle="1">
    <w:basedOn w:val="TableNormal"/>
    <w:pPr>
      <w:spacing w:after="0" w:line="240" w:lineRule="auto"/>
    </w:pPr>
    <w:tblPr>
      <w:tblStyleRowBandSize w:val="1"/>
      <w:tblStyleColBandSize w:val="1"/>
      <w:tblCellMar>
        <w:left w:w="115.0" w:type="dxa"/>
        <w:right w:w="115.0" w:type="dxa"/>
      </w:tblCellMar>
    </w:tblPr>
    <w:tcPr>
      <w:vAlign w:val="bottom"/>
    </w:tcPr>
    <w:tblStylePr w:type="firstRow">
      <w:tblPr/>
      <w:tcPr>
        <w:shd w:color="auto" w:fill="464645" w:val="clear"/>
      </w:tcPr>
    </w:tblStylePr>
  </w:style>
  <w:style w:type="table" w:styleId="afffff2" w:customStyle="1">
    <w:basedOn w:val="TableNormal"/>
    <w:pPr>
      <w:spacing w:after="0" w:line="240" w:lineRule="auto"/>
    </w:pPr>
    <w:tblPr>
      <w:tblStyleRowBandSize w:val="1"/>
      <w:tblStyleColBandSize w:val="1"/>
      <w:tblCellMar>
        <w:left w:w="115.0" w:type="dxa"/>
        <w:right w:w="115.0" w:type="dxa"/>
      </w:tblCellMar>
    </w:tblPr>
    <w:tcPr>
      <w:vAlign w:val="bottom"/>
    </w:tcPr>
    <w:tblStylePr w:type="firstRow">
      <w:tblPr/>
      <w:tcPr>
        <w:shd w:color="auto" w:fill="464645" w:val="clear"/>
      </w:tcPr>
    </w:tblStylePr>
  </w:style>
  <w:style w:type="table" w:styleId="afffff3" w:customStyle="1">
    <w:basedOn w:val="TableNormal"/>
    <w:pPr>
      <w:spacing w:after="0" w:line="240" w:lineRule="auto"/>
    </w:pPr>
    <w:tblPr>
      <w:tblStyleRowBandSize w:val="1"/>
      <w:tblStyleColBandSize w:val="1"/>
    </w:tblPr>
    <w:tblStylePr w:type="firstRow">
      <w:rPr>
        <w:b w:val="1"/>
        <w:bCs w:val="1"/>
      </w:rPr>
      <w:tblPr/>
      <w:tcPr>
        <w:tcBorders>
          <w:bottom w:color="ffac67" w:space="0" w:sz="12" w:val="single"/>
        </w:tcBorders>
      </w:tcPr>
    </w:tblStylePr>
    <w:tblStylePr w:type="lastRow">
      <w:rPr>
        <w:b w:val="1"/>
        <w:bCs w:val="1"/>
      </w:rPr>
      <w:tblPr/>
      <w:tcPr>
        <w:tcBorders>
          <w:top w:color="ffac67" w:space="0" w:sz="4" w:val="single"/>
        </w:tcBorders>
      </w:tcPr>
    </w:tblStylePr>
    <w:tblStylePr w:type="firstCol">
      <w:rPr>
        <w:b w:val="1"/>
        <w:bCs w:val="1"/>
      </w:rPr>
    </w:tblStylePr>
    <w:tblStylePr w:type="lastCol">
      <w:rPr>
        <w:b w:val="1"/>
        <w:bCs w:val="1"/>
      </w:rPr>
    </w:tblStylePr>
  </w:style>
  <w:style w:type="table" w:styleId="afffff4" w:customStyle="1">
    <w:basedOn w:val="TableNormal"/>
    <w:tblPr>
      <w:tblStyleRowBandSize w:val="1"/>
      <w:tblStyleColBandSize w:val="1"/>
    </w:tblPr>
  </w:style>
  <w:style w:type="table" w:styleId="afffff5" w:customStyle="1">
    <w:basedOn w:val="TableNormal"/>
    <w:tblPr>
      <w:tblStyleRowBandSize w:val="1"/>
      <w:tblStyleColBandSize w:val="1"/>
    </w:tblPr>
  </w:style>
  <w:style w:type="table" w:styleId="afffff6" w:customStyle="1">
    <w:basedOn w:val="TableNormal"/>
    <w:tblPr>
      <w:tblStyleRowBandSize w:val="1"/>
      <w:tblStyleColBandSize w:val="1"/>
    </w:tblPr>
  </w:style>
  <w:style w:type="table" w:styleId="afffff7" w:customStyle="1">
    <w:basedOn w:val="TableNormal"/>
    <w:tblPr>
      <w:tblStyleRowBandSize w:val="1"/>
      <w:tblStyleColBandSize w:val="1"/>
    </w:tblPr>
  </w:style>
  <w:style w:type="table" w:styleId="afffff8" w:customStyle="1">
    <w:basedOn w:val="TableNormal"/>
    <w:tblPr>
      <w:tblStyleRowBandSize w:val="1"/>
      <w:tblStyleColBandSize w:val="1"/>
    </w:tblPr>
  </w:style>
  <w:style w:type="table" w:styleId="afffff9" w:customStyle="1">
    <w:basedOn w:val="TableNormal"/>
    <w:tblPr>
      <w:tblStyleRowBandSize w:val="1"/>
      <w:tblStyleColBandSize w:val="1"/>
    </w:tblPr>
  </w:style>
  <w:style w:type="table" w:styleId="afffffa" w:customStyle="1">
    <w:basedOn w:val="TableNormal"/>
    <w:tblPr>
      <w:tblStyleRowBandSize w:val="1"/>
      <w:tblStyleColBandSize w:val="1"/>
    </w:tblPr>
  </w:style>
  <w:style w:type="table" w:styleId="afffffb" w:customStyle="1">
    <w:basedOn w:val="TableNormal"/>
    <w:tblPr>
      <w:tblStyleRowBandSize w:val="1"/>
      <w:tblStyleColBandSize w:val="1"/>
    </w:tblPr>
  </w:style>
  <w:style w:type="table" w:styleId="afffffc" w:customStyle="1">
    <w:basedOn w:val="TableNormal"/>
    <w:tblPr>
      <w:tblStyleRowBandSize w:val="1"/>
      <w:tblStyleColBandSize w:val="1"/>
    </w:tblPr>
  </w:style>
  <w:style w:type="table" w:styleId="afffffd" w:customStyle="1">
    <w:basedOn w:val="TableNormal"/>
    <w:tblPr>
      <w:tblStyleRowBandSize w:val="1"/>
      <w:tblStyleColBandSize w:val="1"/>
    </w:tblPr>
  </w:style>
  <w:style w:type="table" w:styleId="afffffe" w:customStyle="1">
    <w:basedOn w:val="TableNormal"/>
    <w:tblPr>
      <w:tblStyleRowBandSize w:val="1"/>
      <w:tblStyleColBandSize w:val="1"/>
    </w:tblPr>
  </w:style>
  <w:style w:type="table" w:styleId="affffff" w:customStyle="1">
    <w:basedOn w:val="TableNormal"/>
    <w:tblPr>
      <w:tblStyleRowBandSize w:val="1"/>
      <w:tblStyleColBandSize w:val="1"/>
    </w:tblPr>
  </w:style>
  <w:style w:type="table" w:styleId="affffff0" w:customStyle="1">
    <w:basedOn w:val="TableNormal"/>
    <w:pPr>
      <w:spacing w:after="0" w:line="240" w:lineRule="auto"/>
    </w:pPr>
    <w:tblPr>
      <w:tblStyleRowBandSize w:val="1"/>
      <w:tblStyleColBandSize w:val="1"/>
      <w:tblCellMar>
        <w:left w:w="115.0" w:type="dxa"/>
        <w:right w:w="115.0" w:type="dxa"/>
      </w:tblCellMar>
    </w:tblPr>
    <w:tcPr>
      <w:vAlign w:val="bottom"/>
    </w:tcPr>
    <w:tblStylePr w:type="firstRow">
      <w:tblPr/>
      <w:tcPr>
        <w:shd w:color="auto" w:fill="464645" w:val="clear"/>
      </w:tcPr>
    </w:tblStylePr>
  </w:style>
  <w:style w:type="table" w:styleId="affffff1" w:customStyle="1">
    <w:basedOn w:val="TableNormal"/>
    <w:pPr>
      <w:spacing w:after="0" w:line="240" w:lineRule="auto"/>
    </w:pPr>
    <w:tblPr>
      <w:tblStyleRowBandSize w:val="1"/>
      <w:tblStyleColBandSize w:val="1"/>
      <w:tblCellMar>
        <w:left w:w="115.0" w:type="dxa"/>
        <w:right w:w="115.0" w:type="dxa"/>
      </w:tblCellMar>
    </w:tblPr>
    <w:tcPr>
      <w:vAlign w:val="bottom"/>
    </w:tcPr>
    <w:tblStylePr w:type="firstRow">
      <w:tblPr/>
      <w:tcPr>
        <w:shd w:color="auto" w:fill="464645" w:val="clear"/>
      </w:tcPr>
    </w:tblStylePr>
  </w:style>
  <w:style w:type="table" w:styleId="affffff2" w:customStyle="1">
    <w:basedOn w:val="TableNormal"/>
    <w:pPr>
      <w:spacing w:after="0" w:line="240" w:lineRule="auto"/>
    </w:pPr>
    <w:tblPr>
      <w:tblStyleRowBandSize w:val="1"/>
      <w:tblStyleColBandSize w:val="1"/>
    </w:tblPr>
    <w:tblStylePr w:type="firstRow">
      <w:rPr>
        <w:b w:val="1"/>
        <w:bCs w:val="1"/>
      </w:rPr>
      <w:tblPr/>
      <w:tcPr>
        <w:tcBorders>
          <w:bottom w:color="ffac67" w:space="0" w:sz="12" w:val="single"/>
        </w:tcBorders>
      </w:tcPr>
    </w:tblStylePr>
    <w:tblStylePr w:type="lastRow">
      <w:rPr>
        <w:b w:val="1"/>
        <w:bCs w:val="1"/>
      </w:rPr>
      <w:tblPr/>
      <w:tcPr>
        <w:tcBorders>
          <w:top w:color="ffac67" w:space="0" w:sz="4" w:val="single"/>
        </w:tcBorders>
      </w:tcPr>
    </w:tblStylePr>
    <w:tblStylePr w:type="firstCol">
      <w:rPr>
        <w:b w:val="1"/>
        <w:bCs w:val="1"/>
      </w:rPr>
    </w:tblStylePr>
    <w:tblStylePr w:type="lastCol">
      <w:rPr>
        <w:b w:val="1"/>
        <w:bCs w:val="1"/>
      </w:rPr>
    </w:tblStylePr>
  </w:style>
  <w:style w:type="table" w:styleId="affffff3" w:customStyle="1">
    <w:basedOn w:val="TableNormal"/>
    <w:tblPr>
      <w:tblStyleRowBandSize w:val="1"/>
      <w:tblStyleColBandSize w:val="1"/>
    </w:tblPr>
  </w:style>
  <w:style w:type="table" w:styleId="affffff4" w:customStyle="1">
    <w:basedOn w:val="TableNormal"/>
    <w:tblPr>
      <w:tblStyleRowBandSize w:val="1"/>
      <w:tblStyleColBandSize w:val="1"/>
    </w:tblPr>
  </w:style>
  <w:style w:type="paragraph" w:styleId="Subtitle">
    <w:name w:val="Subtitle"/>
    <w:basedOn w:val="Normal"/>
    <w:next w:val="Normal"/>
    <w:pPr>
      <w:spacing w:after="0" w:before="240" w:lineRule="auto"/>
    </w:pPr>
    <w:rPr>
      <w:sz w:val="24"/>
      <w:szCs w:val="24"/>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tcPr>
      <w:vAlign w:val="bottom"/>
    </w:tcPr>
    <w:tblStylePr w:type="firstRow">
      <w:tcPr>
        <w:shd w:fill="464645" w:val="clear"/>
      </w:tcPr>
    </w:tblStyle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tcPr>
      <w:vAlign w:val="bottom"/>
    </w:tcPr>
    <w:tblStylePr w:type="firstRow">
      <w:tcPr>
        <w:shd w:fill="464645" w:val="clear"/>
      </w:tcPr>
    </w:tblStyle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tblStylePr w:type="firstCol">
      <w:rPr>
        <w:b w:val="1"/>
        <w:bCs w:val="1"/>
      </w:rPr>
    </w:tblStylePr>
    <w:tblStylePr w:type="firstRow">
      <w:rPr>
        <w:b w:val="1"/>
        <w:bCs w:val="1"/>
      </w:rPr>
      <w:tcPr>
        <w:tcBorders>
          <w:bottom w:color="ffac67" w:space="0" w:sz="12" w:val="single"/>
        </w:tcBorders>
      </w:tcPr>
    </w:tblStylePr>
    <w:tblStylePr w:type="lastCol">
      <w:rPr>
        <w:b w:val="1"/>
        <w:bCs w:val="1"/>
      </w:rPr>
    </w:tblStylePr>
    <w:tblStylePr w:type="lastRow">
      <w:rPr>
        <w:b w:val="1"/>
        <w:bCs w:val="1"/>
      </w:rPr>
      <w:tcPr>
        <w:tcBorders>
          <w:top w:color="ffac67" w:space="0" w:sz="4" w:val="single"/>
        </w:tcBorders>
      </w:tcPr>
    </w:tblStyle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tblStylePr w:type="firstCol">
      <w:rPr>
        <w:b w:val="1"/>
        <w:bCs w:val="1"/>
      </w:rPr>
    </w:tblStylePr>
    <w:tblStylePr w:type="firstRow">
      <w:rPr>
        <w:b w:val="1"/>
        <w:bCs w:val="1"/>
      </w:rPr>
      <w:tcPr>
        <w:tcBorders>
          <w:bottom w:color="ffac67" w:space="0" w:sz="12" w:val="single"/>
        </w:tcBorders>
      </w:tcPr>
    </w:tblStylePr>
    <w:tblStylePr w:type="lastCol">
      <w:rPr>
        <w:b w:val="1"/>
        <w:bCs w:val="1"/>
      </w:rPr>
    </w:tblStylePr>
    <w:tblStylePr w:type="lastRow">
      <w:rPr>
        <w:b w:val="1"/>
        <w:bCs w:val="1"/>
      </w:rPr>
      <w:tcPr>
        <w:tcBorders>
          <w:top w:color="ffac67" w:space="0" w:sz="4" w:val="single"/>
        </w:tcBorders>
      </w:tcPr>
    </w:tblStyle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tblStylePr w:type="firstCol">
      <w:rPr>
        <w:b w:val="1"/>
        <w:bCs w:val="1"/>
      </w:rPr>
    </w:tblStylePr>
    <w:tblStylePr w:type="firstRow">
      <w:rPr>
        <w:b w:val="1"/>
        <w:bCs w:val="1"/>
      </w:rPr>
      <w:tcPr>
        <w:tcBorders>
          <w:bottom w:color="ffac67" w:space="0" w:sz="12" w:val="single"/>
        </w:tcBorders>
      </w:tcPr>
    </w:tblStylePr>
    <w:tblStylePr w:type="lastCol">
      <w:rPr>
        <w:b w:val="1"/>
        <w:bCs w:val="1"/>
      </w:rPr>
    </w:tblStylePr>
    <w:tblStylePr w:type="lastRow">
      <w:rPr>
        <w:b w:val="1"/>
        <w:bCs w:val="1"/>
      </w:rPr>
      <w:tcPr>
        <w:tcBorders>
          <w:top w:color="ffac67" w:space="0" w:sz="4" w:val="single"/>
        </w:tcBorders>
      </w:tcPr>
    </w:tblStyle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tblStylePr w:type="firstCol">
      <w:rPr>
        <w:b w:val="1"/>
        <w:bCs w:val="1"/>
      </w:rPr>
    </w:tblStylePr>
    <w:tblStylePr w:type="firstRow">
      <w:rPr>
        <w:b w:val="1"/>
        <w:bCs w:val="1"/>
      </w:rPr>
      <w:tcPr>
        <w:tcBorders>
          <w:bottom w:color="ffac67" w:space="0" w:sz="12" w:val="single"/>
        </w:tcBorders>
      </w:tcPr>
    </w:tblStylePr>
    <w:tblStylePr w:type="lastCol">
      <w:rPr>
        <w:b w:val="1"/>
        <w:bCs w:val="1"/>
      </w:rPr>
    </w:tblStylePr>
    <w:tblStylePr w:type="lastRow">
      <w:rPr>
        <w:b w:val="1"/>
        <w:bCs w:val="1"/>
      </w:rPr>
      <w:tcPr>
        <w:tcBorders>
          <w:top w:color="ffac67" w:space="0" w:sz="4" w:val="single"/>
        </w:tcBorders>
      </w:tcPr>
    </w:tblStyle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2.xml"/><Relationship Id="rId10" Type="http://schemas.openxmlformats.org/officeDocument/2006/relationships/footer" Target="footer1.xml"/><Relationship Id="rId12"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LibreFranklin-regular.ttf"/><Relationship Id="rId2" Type="http://schemas.openxmlformats.org/officeDocument/2006/relationships/font" Target="fonts/LibreFranklin-bold.ttf"/><Relationship Id="rId3" Type="http://schemas.openxmlformats.org/officeDocument/2006/relationships/font" Target="fonts/LibreFranklin-italic.ttf"/><Relationship Id="rId4" Type="http://schemas.openxmlformats.org/officeDocument/2006/relationships/font" Target="fonts/LibreFranklin-boldItalic.ttf"/><Relationship Id="rId5" Type="http://schemas.openxmlformats.org/officeDocument/2006/relationships/font" Target="fonts/LibreFranklinMedium-regular.ttf"/><Relationship Id="rId6" Type="http://schemas.openxmlformats.org/officeDocument/2006/relationships/font" Target="fonts/LibreFranklinMedium-bold.ttf"/><Relationship Id="rId7" Type="http://schemas.openxmlformats.org/officeDocument/2006/relationships/font" Target="fonts/LibreFranklinMedium-italic.ttf"/><Relationship Id="rId8" Type="http://schemas.openxmlformats.org/officeDocument/2006/relationships/font" Target="fonts/LibreFranklinMedium-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tema">
  <a:themeElements>
    <a:clrScheme name="NRC">
      <a:dk1>
        <a:srgbClr val="464645"/>
      </a:dk1>
      <a:lt1>
        <a:sysClr val="window" lastClr="FFFFFF"/>
      </a:lt1>
      <a:dk2>
        <a:srgbClr val="A6A6A5"/>
      </a:dk2>
      <a:lt2>
        <a:srgbClr val="D3D3D2"/>
      </a:lt2>
      <a:accent1>
        <a:srgbClr val="FF7602"/>
      </a:accent1>
      <a:accent2>
        <a:srgbClr val="72C7E7"/>
      </a:accent2>
      <a:accent3>
        <a:srgbClr val="0094B3"/>
      </a:accent3>
      <a:accent4>
        <a:srgbClr val="CE5C43"/>
      </a:accent4>
      <a:accent5>
        <a:srgbClr val="FDC82F"/>
      </a:accent5>
      <a:accent6>
        <a:srgbClr val="F3EC7A"/>
      </a:accent6>
      <a:hlink>
        <a:srgbClr val="0563C1"/>
      </a:hlink>
      <a:folHlink>
        <a:srgbClr val="954F72"/>
      </a:folHlink>
    </a:clrScheme>
    <a:fontScheme name="NRC">
      <a:majorFont>
        <a:latin typeface="Franklin Gothic Book"/>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3175">
          <a:solidFill>
            <a:schemeClr val="tx2"/>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y9F3Hi9473belijQ3mXdO473/g==">CgMxLjAaHwoBMBIaChgICVIUChJ0YWJsZS42NDA0aWpkdG95aGsaHwoBMRIaChgICVIUChJ0YWJsZS5rZGRtMnI2anpqNXQaHwoBMhIaChgICVIUChJ0YWJsZS5nczh5cmlubmtzbmIaHwoBMxIaChgICVIUChJ0YWJsZS51cTM4cHE5dWJkY2saHwoBNBIaChgICVIUChJ0YWJsZS5mdm1wNnVlZmd1bWEaHwoBNRIaChgICVIUChJ0YWJsZS5wZHUydTgybGFya20yDmguMzZ6dHhuYXpvZHhoMg5oLmI5czZ0cWl0MzI2ODIOaC56N25wMXE1Nm14eXYyDmgueWU4aWU0MjBhaGI5Mg5oLmdzeW1rdnBqNHA4eDIOaC5nNmtiem1xMDNlb3oyDmguZnFzeDdib3NheTJtMg5oLmExZXByeW1yenZ2NzIOaC45cm0yY3Q0MnhzbjUyDmguZGNuNXhyeTRmang3Mg5oLnZnbzJmb3c1bG9lZzIOaC4zaHkxazg2dWh6ZzUyDmguY3V4ZW55cGp5eGMwMg5oLjV4MnZhcGJrYWdqOTIOaC5tN2ptbWduamdqMm0yDmguZ2EwMmFrcGZjcXQ4Mg5oLjJkOHl5Z3djOThhdDINaC5mcTd0cGo1eHF3ZjIOaC4zazg4a3k0NWN4MGoyDmguY2Z5aXgyN3JtZ2g1Mg5oLm1zbXd4NzhhYWk1ZjIOaC5wN2lid2hsNDA0bDQyDmgucjhhbHo0dXluc3dzMg5oLmEyY2E3bW05ZXhwMzIOaC5tY3BrZXhiNGd6b3UyDmguMjBuNDVkMzN4ZTYwMg5oLnhhbjlobmJkcDZsNTIOaC4zeWU5MG9iNmFzNjMyDmgucG13bzc3dzc0ZW1lMg5oLnoxYnQ2ZmI4a3UwdjIOaC43ZDJ4eGJhbng0ZGgyDmguNzlubDZraHdqMW85Mg5oLjFvaHg5YmM3cWNpODIOaC5ncjgyandoZnVzZWEyDmguaXNlZzJ6Z2ZvdnIzMg5oLjhwYWt5NmkwYjZ1cTIOaC5meDR4a2ZkMW9hNngyDmguNmFvb2dwMXUzbml2Mg5oLjl1aWxlZnUxMHFhZzIOaC5pcnVlNXd4aW10bDYyDmgucnZuMmR6aTdnOWs1Mg5oLmExbHR3MHE5dnBvYTIOaC50c3FuYjFqbTNsYzMyDmgueThmb3RiNThnNDk3Mg5oLnF4ZWY1ZmtwenJ1ZjgAciExUEhXRmN2YzBXMW5icS11dHhjQTd1dGQyS1h0SXNOWU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2026-02-08T09:20:00.0000000Z</dcterms:created>
  <dc:creator>Lian Bradley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by">
    <vt:lpwstr>addpoint.no</vt:lpwstr>
  </property>
  <property fmtid="{D5CDD505-2E9C-101B-9397-08002B2CF9AE}" pid="3" name="ContentTypeId">
    <vt:lpwstr>0x0101008759FFD760D90A4B8837B02B486E92B7</vt:lpwstr>
  </property>
</Properties>
</file>